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vertAlign w:val="baseline"/>
          <w:rtl w:val="0"/>
        </w:rPr>
        <w:t xml:space="preserve">SCI-177-2006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vertAlign w:val="baseline"/>
          <w:rtl w:val="0"/>
        </w:rPr>
        <w:t xml:space="preserve">30 de marzo del 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MBA. José Rafael Hidalgo R., Rector a.i.</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Lic. Elías Calderón O., Vicerrector de Administración a.i.</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Lic. Jhonny Masís S., Director del Departamento Financiero Contable a.i.</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Ing. Juvenal Valerio G., Representante de la Comunidad Nacional ante el Consejo Institucional del Instituto Tecnológico de Costa Rica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Ingra. Rita Arce L., Representante Suplente de los Egresados ante el Consejo Institucional del Instituto Tecnológico de Costa Rica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MAP. Raúl Pacheco Murillo, Representante de la Comunidad Nacional ante el Consejo Institucional</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Sr. Marcel Martínez E., Representante Estudiantil ante el Consejo Institucional del Instituto Tecnológico de Costa Rica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Sr. Oscar Chacón R., Representante Estudiantil ante el Consejo Institucional del Instituto Tecnológico de Costa Rica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Licda. Bertalía Sánchez S., Directora Ejecutiva de la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vertAlign w:val="baseline"/>
                <w:rtl w:val="0"/>
              </w:rPr>
              <w:t xml:space="preserve">Sesión Ordinaria No. 2458, Artículo 11, del 30 de marzo del 2006. Ajuste en el pago de dietas a Miembros de la Comunidad Nacional, Representante de los Egresados y Representantes estudiantiles ante el Consejo Institucional del Instituto Tecnológico de Costa Rica, según el resultado de inflación del año 2005</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ind w:right="-285"/>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con fecha 25 de noviembre del 2005, recibió Oficio N° 15067 de la Contraloría General de la República, en el cual se remite el Informe N° DFOE-EC-56/2005, en el que se informa sobre los resultados del estudio del Presupuesto Ordinario y el Plan Anual Operativo del Instituto Tecnológico de Costa Rica , el cual en el punto 2.1, inciso h, señala: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40" w:right="404" w:firstLine="0"/>
        <w:contextualSpacing w:val="0"/>
        <w:jc w:val="both"/>
      </w:pPr>
      <w:r w:rsidDel="00000000" w:rsidR="00000000" w:rsidRPr="00000000">
        <w:rPr>
          <w:rFonts w:ascii="Arial" w:cs="Arial" w:eastAsia="Arial" w:hAnsi="Arial"/>
          <w:i w:val="1"/>
          <w:vertAlign w:val="baseline"/>
          <w:rtl w:val="0"/>
        </w:rPr>
        <w:t xml:space="preserve">“Se aprueba el contenido presupuestario para el pago de dietas y los cursos intensivos.  El pago de dietas corresponde únicamente a los miembros externos del Consejo Institucional, de acuerdo con lo dispuesto en el artículo 15. del Estatuto Orgánico del ITCR; además, quienes ejerzan la función pública no podrán devengar dietas, de conformidad con el párrafo final del artículo 17 de la Ley No. 8422.  Por lo tanto, es responsabilidad de la administración del ITCR que el reconocimiento de este concepto se efectúe de conformidad con la normativa y jurisprudencia emitida en sede administrativa y judicial sobre esta materia, y que tal reconocimiento no configure una superposición horaria para el caso de los miembros del Consejo Institucional, que a su vez ostentan un cargo regular dentro del Sector Público”</w:t>
      </w:r>
      <w:r w:rsidDel="00000000" w:rsidR="00000000" w:rsidRPr="00000000">
        <w:rPr>
          <w:rtl w:val="0"/>
        </w:rPr>
      </w:r>
    </w:p>
    <w:p w:rsidR="00000000" w:rsidDel="00000000" w:rsidP="00000000" w:rsidRDefault="00000000" w:rsidRPr="00000000">
      <w:pPr>
        <w:ind w:left="540" w:right="404" w:firstLine="0"/>
        <w:contextualSpacing w:val="0"/>
        <w:jc w:val="both"/>
      </w:pPr>
      <w:r w:rsidDel="00000000" w:rsidR="00000000" w:rsidRPr="00000000">
        <w:rPr>
          <w:rtl w:val="0"/>
        </w:rPr>
      </w:r>
    </w:p>
    <w:p w:rsidR="00000000" w:rsidDel="00000000" w:rsidP="00000000" w:rsidRDefault="00000000" w:rsidRPr="00000000">
      <w:pPr>
        <w:ind w:left="540" w:right="404" w:firstLine="0"/>
        <w:contextualSpacing w:val="0"/>
        <w:jc w:val="both"/>
      </w:pPr>
      <w:r w:rsidDel="00000000" w:rsidR="00000000" w:rsidRPr="00000000">
        <w:rPr>
          <w:rtl w:val="0"/>
        </w:rPr>
      </w:r>
    </w:p>
    <w:p w:rsidR="00000000" w:rsidDel="00000000" w:rsidP="00000000" w:rsidRDefault="00000000" w:rsidRPr="00000000">
      <w:pPr>
        <w:ind w:left="540" w:right="404" w:firstLine="0"/>
        <w:contextualSpacing w:val="0"/>
        <w:jc w:val="both"/>
      </w:pPr>
      <w:r w:rsidDel="00000000" w:rsidR="00000000" w:rsidRPr="00000000">
        <w:rPr>
          <w:rtl w:val="0"/>
        </w:rPr>
      </w:r>
    </w:p>
    <w:p w:rsidR="00000000" w:rsidDel="00000000" w:rsidP="00000000" w:rsidRDefault="00000000" w:rsidRPr="00000000">
      <w:pPr>
        <w:ind w:left="540" w:right="404"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Sesión Ordinaria No. 2458, Artículo 11, del 30 de marzo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40" w:right="404"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i w:val="0"/>
        </w:rPr>
      </w:pPr>
      <w:r w:rsidDel="00000000" w:rsidR="00000000" w:rsidRPr="00000000">
        <w:rPr>
          <w:rFonts w:ascii="Arial" w:cs="Arial" w:eastAsia="Arial" w:hAnsi="Arial"/>
          <w:sz w:val="22"/>
          <w:szCs w:val="22"/>
          <w:vertAlign w:val="baseline"/>
          <w:rtl w:val="0"/>
        </w:rPr>
        <w:t xml:space="preserve">La Secretaría del Consejo Institucional, recibió el Oficio DFC-411-2006, con fecha 21 de marzo del 2005, suscrito por el Lic. Elías Calderón O., Director del Departamento de Financiero Contable, dirigido a la Licda. Bertalía Sánchez Salas, Directora Ejecutiva del Consejo Institucional, donde indica que:  </w:t>
      </w:r>
      <w:r w:rsidDel="00000000" w:rsidR="00000000" w:rsidRPr="00000000">
        <w:rPr>
          <w:rFonts w:ascii="Arial" w:cs="Arial" w:eastAsia="Arial" w:hAnsi="Arial"/>
          <w:i w:val="1"/>
          <w:vertAlign w:val="baseline"/>
          <w:rtl w:val="0"/>
        </w:rPr>
        <w:t xml:space="preserve">“Considerando lo dispuesto en el Artículo 60 de la</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vertAlign w:val="baseline"/>
          <w:rtl w:val="0"/>
        </w:rPr>
        <w:t xml:space="preserve">Ley No. 7138 </w:t>
      </w:r>
      <w:r w:rsidDel="00000000" w:rsidR="00000000" w:rsidRPr="00000000">
        <w:rPr>
          <w:rFonts w:ascii="Arial" w:cs="Arial" w:eastAsia="Arial" w:hAnsi="Arial"/>
          <w:i w:val="1"/>
          <w:vertAlign w:val="baseline"/>
          <w:rtl w:val="0"/>
        </w:rPr>
        <w:t xml:space="preserve">del 16 de noviembre de 1989, establece la potestad del Poder Ejecutivo de remunerar las dietas de los miembros de las juntas directivas de las instituciones autónomas y demás juntas directivas nombradas por el Poder Ejecutivo, cuyo monto debe ser aumentado anualmente, de conformidad con el índice de inflación que determina el Banco Centro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recibió el Oficio DFC-411-2006, con fecha 21 de marzo del 2005, suscrito por el Lic. Elías Calderón O., Director del Departamento de Financiero Contable, dirigido a la Licda. Bertalía Sánchez Salas, Directora Ejecutiva del Consejo Institucional,  en el cual se ajusta el monto de las  dietas de los miembros del Consejo Institucional, según el resultado de inflación 2005, equivalente al 14.07%, por lo que, el nuevo monto mensual será de ¢26,717,00, por persona. Además, manifiesta que el reajuste se estas se hará cuando el Consejo Institucional tome el acuerdo correspondiente.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Planificación y Administración en la reunión celebrada el 24 de marzo del 2006, analizó el tema y dictamina la propuesta positivamente y dispuso elevarla al Pleno del Consejo Institucional, con base en los argumentos citados.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Autorizar el ajuste de un 14.07%, en el pago de las dietas a los miembros de la Comunidad Nacional, al Representante de los Egresados y a los Representantes Estudiantes, a partir de enero del 2006; por la participación y asistencia a las sesiones del Consejo Institucional del Instituto Tecnológico de Costa Rica, de acuerdo con la Ley No. 3065, que autoriza el pago de dietas a miembros de Juntas Directivas y su actualización.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22"/>
          <w:szCs w:val="22"/>
          <w:vertAlign w:val="baseline"/>
          <w:rtl w:val="0"/>
        </w:rPr>
        <w:t xml:space="preserve">Nota:</w:t>
      </w:r>
      <w:r w:rsidDel="00000000" w:rsidR="00000000" w:rsidRPr="00000000">
        <w:rPr>
          <w:rFonts w:ascii="Arial" w:cs="Arial" w:eastAsia="Arial" w:hAnsi="Arial"/>
          <w:sz w:val="22"/>
          <w:szCs w:val="22"/>
          <w:vertAlign w:val="baseline"/>
          <w:rtl w:val="0"/>
        </w:rPr>
        <w:t xml:space="preserve">  Este acuerdo adquirió su firmeza con la aprobación del Acta No. 2458, en la Sesión Ordinaria Permanente No. 2459, del 06 de abril del 2006.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BSS/mma</w:t>
      </w:r>
      <w:r w:rsidDel="00000000" w:rsidR="00000000" w:rsidRPr="00000000">
        <w:rPr>
          <w:rtl w:val="0"/>
        </w:rPr>
      </w:r>
    </w:p>
    <w:tbl>
      <w:tblPr>
        <w:tblStyle w:val="Table2"/>
        <w:bidi w:val="0"/>
        <w:tblW w:w="8710.0" w:type="dxa"/>
        <w:jc w:val="left"/>
        <w:tblInd w:w="-70.0" w:type="dxa"/>
        <w:tblLayout w:type="fixed"/>
        <w:tblLook w:val="0000"/>
      </w:tblPr>
      <w:tblGrid>
        <w:gridCol w:w="4750"/>
        <w:gridCol w:w="3960"/>
        <w:tblGridChange w:id="0">
          <w:tblGrid>
            <w:gridCol w:w="4750"/>
            <w:gridCol w:w="396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VIESA</w:t>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Administración </w:t>
            </w:r>
            <w:r w:rsidDel="00000000" w:rsidR="00000000" w:rsidRPr="00000000">
              <w:rPr>
                <w:rtl w:val="0"/>
              </w:rPr>
            </w:r>
          </w:p>
        </w:tc>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spacing w:after="0" w:before="0" w:line="240" w:lineRule="auto"/>
        <w:ind w:left="360" w:right="-40" w:firstLine="0"/>
        <w:contextualSpacing w:val="0"/>
        <w:jc w:val="both"/>
      </w:pPr>
      <w:r w:rsidDel="00000000" w:rsidR="00000000" w:rsidRPr="00000000">
        <w:rPr>
          <w:rtl w:val="0"/>
        </w:rPr>
      </w:r>
    </w:p>
    <w:sectPr>
      <w:headerReference r:id="rId5" w:type="default"/>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60" w:before="708" w:line="240" w:lineRule="auto"/>
      <w:contextualSpacing w:val="0"/>
      <w:jc w:val="right"/>
    </w:pPr>
    <w:r w:rsidDel="00000000" w:rsidR="00000000" w:rsidRPr="00000000">
      <w:rPr>
        <w:rFonts w:ascii="Arial" w:cs="Arial" w:eastAsia="Arial" w:hAnsi="Arial"/>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4908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4908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34" w:firstLine="374.00000000000006"/>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