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SCI-175-2006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30 de marzo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MBA. José Rafael Hidalgo R., Rector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Lic. Elías Calderón O., Vicerrector de Administración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MBA. Eugenia Solano A., Directora del Departamento de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Ordinaria No. 2458, Artículo 8, del 30 de marzo del 2006.  Ratificación de nombramiento de Vicerrectora de Administración en forma interina, en ausencia del titular de ese cargo, quien estará ocupando el puesto de Rector interino, del 8 al 13 de abril del 2006</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right="-40" w:hanging="360"/>
        <w:jc w:val="both"/>
        <w:rPr/>
      </w:pPr>
      <w:r w:rsidDel="00000000" w:rsidR="00000000" w:rsidRPr="00000000">
        <w:rPr>
          <w:i w:val="0"/>
          <w:sz w:val="22"/>
          <w:szCs w:val="22"/>
          <w:vertAlign w:val="baseline"/>
          <w:rtl w:val="0"/>
        </w:rPr>
        <w:t xml:space="preserve">El Consejo Institucional en la Sesión No. 2456, Artículo 12, del 16 de marzo, ratificó el nombramiento del MBA. José Rafael Hidalgo Rojas, Vicerrector de Administración, como Rector en forma interina del 8 al 13 de abril del 2006.</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1"/>
        </w:numPr>
        <w:ind w:left="360" w:right="-40" w:hanging="360"/>
        <w:jc w:val="both"/>
        <w:rPr/>
      </w:pPr>
      <w:r w:rsidDel="00000000" w:rsidR="00000000" w:rsidRPr="00000000">
        <w:rPr>
          <w:i w:val="0"/>
          <w:sz w:val="22"/>
          <w:szCs w:val="22"/>
          <w:vertAlign w:val="baseline"/>
          <w:rtl w:val="0"/>
        </w:rPr>
        <w:t xml:space="preserve">La Secretaría del Consejo Institucional, con fecha 27 de marzo del 2006, recibió memorando VAD-186-2006, suscrito por el MBA. José Rafael Hidalgo Rojas, Vicerrector de Administración, dirigido al MSc. Eugenio Trejos Benavides, Presidente del Consejo Institucional, en el que propone la ratificación del nombramiento de la MAE. Eugenia Solano, Directora del Departamento de Recursos Humanos, como Vicerrectora de Administración, en forma interina, durante las fechas señaladas.</w:t>
      </w: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tl w:val="0"/>
        </w:rPr>
      </w:r>
    </w:p>
    <w:p w:rsidR="00000000" w:rsidDel="00000000" w:rsidP="00000000" w:rsidRDefault="00000000" w:rsidRPr="00000000">
      <w:pPr>
        <w:spacing w:after="0" w:before="0" w:line="240" w:lineRule="auto"/>
        <w:ind w:right="-40"/>
        <w:contextualSpacing w:val="0"/>
        <w:jc w:val="both"/>
      </w:pPr>
      <w:r w:rsidDel="00000000" w:rsidR="00000000" w:rsidRPr="00000000">
        <w:rPr>
          <w:rFonts w:ascii="Arial" w:cs="Arial" w:eastAsia="Arial" w:hAnsi="Arial"/>
          <w:b w:val="1"/>
          <w:i w:val="0"/>
          <w:color w:val="000000"/>
          <w:sz w:val="22"/>
          <w:szCs w:val="22"/>
          <w:vertAlign w:val="baseline"/>
          <w:rtl w:val="0"/>
        </w:rPr>
        <w:t xml:space="preserve">ACUERDA:</w:t>
      </w:r>
      <w:r w:rsidDel="00000000" w:rsidR="00000000" w:rsidRPr="00000000">
        <w:rPr>
          <w:rFonts w:ascii="Arial" w:cs="Arial" w:eastAsia="Arial" w:hAnsi="Arial"/>
          <w:b w:val="0"/>
          <w:i w:val="0"/>
          <w:color w:val="000000"/>
          <w:sz w:val="22"/>
          <w:szCs w:val="22"/>
          <w:vertAlign w:val="baseline"/>
          <w:rtl w:val="0"/>
        </w:rPr>
        <w:t xml:space="preserve">   </w:t>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40" w:hanging="360"/>
        <w:jc w:val="both"/>
        <w:rPr/>
      </w:pPr>
      <w:r w:rsidDel="00000000" w:rsidR="00000000" w:rsidRPr="00000000">
        <w:rPr>
          <w:rFonts w:ascii="Arial" w:cs="Arial" w:eastAsia="Arial" w:hAnsi="Arial"/>
          <w:b w:val="0"/>
          <w:i w:val="0"/>
          <w:sz w:val="22"/>
          <w:szCs w:val="22"/>
          <w:vertAlign w:val="baseline"/>
          <w:rtl w:val="0"/>
        </w:rPr>
        <w:t xml:space="preserve">Ratificar el nombramiento de la MAE. Eugenia Solano, Directora del Departamento de Recursos Humanos, como Vicerrectora de Administración interina, del 8 al 13 de abril del 2006, período en que el titular de esa Vicerrectoría estará ocupando el cargo de Rector en forma interina. </w:t>
      </w:r>
    </w:p>
    <w:p w:rsidR="00000000" w:rsidDel="00000000" w:rsidP="00000000" w:rsidRDefault="00000000" w:rsidRPr="00000000">
      <w:pPr>
        <w:spacing w:after="0" w:before="0" w:line="240" w:lineRule="auto"/>
        <w:ind w:left="360" w:right="-4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40" w:hanging="360"/>
        <w:jc w:val="both"/>
        <w:rPr/>
      </w:pPr>
      <w:r w:rsidDel="00000000" w:rsidR="00000000" w:rsidRPr="00000000">
        <w:rPr>
          <w:rFonts w:ascii="Arial" w:cs="Arial" w:eastAsia="Arial" w:hAnsi="Arial"/>
          <w:b w:val="0"/>
          <w:i w:val="0"/>
          <w:sz w:val="22"/>
          <w:szCs w:val="22"/>
          <w:vertAlign w:val="baseline"/>
          <w:rtl w:val="0"/>
        </w:rPr>
        <w:t xml:space="preserve">Comunicar.  </w:t>
      </w:r>
      <w:r w:rsidDel="00000000" w:rsidR="00000000" w:rsidRPr="00000000">
        <w:rPr>
          <w:rFonts w:ascii="Arial" w:cs="Arial" w:eastAsia="Arial" w:hAnsi="Arial"/>
          <w:b w:val="1"/>
          <w:i w:val="0"/>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BSS/mma</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ind w:left="360" w:right="-40" w:firstLine="0"/>
        <w:contextualSpacing w:val="0"/>
        <w:jc w:val="both"/>
      </w:pPr>
      <w:r w:rsidDel="00000000" w:rsidR="00000000" w:rsidRPr="00000000">
        <w:rPr>
          <w:rtl w:val="0"/>
        </w:rPr>
      </w:r>
    </w:p>
    <w:sectPr>
      <w:headerReference r:id="rId5"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74" w:firstLine="734"/>
      </w:pPr>
      <w:rPr>
        <w:rFonts w:ascii="Arial" w:cs="Arial" w:eastAsia="Arial" w:hAnsi="Arial"/>
        <w:b w:val="1"/>
        <w:i w:val="0"/>
        <w:smallCaps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