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SCI-206-2006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20 de abril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RECTORÍA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 Elías Calderón O., Director del Departamento Financiero 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1"/>
              <w:contextualSpacing w:val="0"/>
              <w:jc w:val="both"/>
            </w:pPr>
            <w:r w:rsidDel="00000000" w:rsidR="00000000" w:rsidRPr="00000000">
              <w:rPr>
                <w:rFonts w:ascii="Arial" w:cs="Arial" w:eastAsia="Arial" w:hAnsi="Arial"/>
                <w:b w:val="1"/>
                <w:sz w:val="20"/>
                <w:szCs w:val="20"/>
                <w:vertAlign w:val="baseline"/>
                <w:rtl w:val="0"/>
              </w:rPr>
              <w:t xml:space="preserve">Lic. Walter Sequeira Fallas, Director del Departamento de Aprovisionamiento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1"/>
              <w:contextualSpacing w:val="0"/>
              <w:jc w:val="both"/>
            </w:pPr>
            <w:r w:rsidDel="00000000" w:rsidR="00000000" w:rsidRPr="00000000">
              <w:rPr>
                <w:rFonts w:ascii="Arial" w:cs="Arial" w:eastAsia="Arial" w:hAnsi="Arial"/>
                <w:b w:val="1"/>
                <w:sz w:val="20"/>
                <w:szCs w:val="20"/>
                <w:vertAlign w:val="baseline"/>
                <w:rtl w:val="0"/>
              </w:rPr>
              <w:t xml:space="preserve">Licda. Cristina Gómez, Directora de la Biblioteca José Figueres Ferrer</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1"/>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MSC. Eugenio Trejos Benavides,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Sesión Ordinaria No. 2460, Artículo 7, del 20 de abril del 2006. Autorización de pago de viáticos para que la Licda. Cristina Gómez, Directora de la Biblioteca José Figueres Ferrer, asista a la XI Asamblea Regional del Sistema de Información Documental Centroamericano (SIDCA-CSUCA), por celebrarse en la Ciudad de Panamá, durante los días 26, 27 y 28 de abril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ind w:left="1440" w:hanging="14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18"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Secretaría del Consejo Institucional, recibió documentación remitida por el MSc. Eugenio Trejos B., Rector, sobre la solicitud presentada por la Licda. Cristina Gómez, Directora de la Biblioteca José Figueres Ferrer, para participar en la XI Asamblea Regional del Sistema de Información Documental Centroamericano (SIDCA-CSUCA), que se celebrará en la Ciudad Panamá, del 26 al 28 de abril del 2006, por lo que, solicita el pago de viáticos por un monto de $849.72.</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18"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monto solicitado será tomado de la Vicerrectoría de Vida Estudiantil y Servicios Académicos, de las siguientes partidas: </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spacing w:after="0" w:before="0" w:line="240" w:lineRule="auto"/>
        <w:ind w:left="4253" w:right="18" w:hanging="2837"/>
        <w:contextualSpacing w:val="0"/>
        <w:jc w:val="both"/>
      </w:pPr>
      <w:r w:rsidDel="00000000" w:rsidR="00000000" w:rsidRPr="00000000">
        <w:rPr>
          <w:rFonts w:ascii="Arial" w:cs="Arial" w:eastAsia="Arial" w:hAnsi="Arial"/>
          <w:b w:val="0"/>
          <w:sz w:val="22"/>
          <w:szCs w:val="22"/>
          <w:vertAlign w:val="baseline"/>
          <w:rtl w:val="0"/>
        </w:rPr>
        <w:t xml:space="preserve">5301-1550-0001-1530 </w:t>
        <w:tab/>
        <w:t xml:space="preserve">Transporte en el Exterior (tiquete aéreo) por la suma de $349.72</w:t>
      </w:r>
    </w:p>
    <w:p w:rsidR="00000000" w:rsidDel="00000000" w:rsidP="00000000" w:rsidRDefault="00000000" w:rsidRPr="00000000">
      <w:pPr>
        <w:spacing w:after="0" w:before="0" w:line="240" w:lineRule="auto"/>
        <w:ind w:left="1134" w:right="18" w:firstLine="281.9999999999999"/>
        <w:contextualSpacing w:val="0"/>
        <w:jc w:val="both"/>
      </w:pPr>
      <w:r w:rsidDel="00000000" w:rsidR="00000000" w:rsidRPr="00000000">
        <w:rPr>
          <w:rFonts w:ascii="Arial" w:cs="Arial" w:eastAsia="Arial" w:hAnsi="Arial"/>
          <w:b w:val="0"/>
          <w:sz w:val="22"/>
          <w:szCs w:val="22"/>
          <w:vertAlign w:val="baseline"/>
          <w:rtl w:val="0"/>
        </w:rPr>
        <w:t xml:space="preserve">5301-1550-0001-1540 </w:t>
        <w:tab/>
        <w:t xml:space="preserve">Viáticos en el Exterior por $500</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18"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Reglamento de Gastos de Viaje y de Transporte para Funcionarios Públicos, en su Artículo 31, dice:  </w:t>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18"/>
          <w:szCs w:val="18"/>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tabs>
          <w:tab w:val="left" w:pos="1620"/>
        </w:tabs>
        <w:ind w:left="360" w:right="760" w:firstLine="0"/>
        <w:contextualSpacing w:val="0"/>
      </w:pPr>
      <w:r w:rsidDel="00000000" w:rsidR="00000000" w:rsidRPr="00000000">
        <w:rPr>
          <w:rFonts w:ascii="Arial" w:cs="Arial" w:eastAsia="Arial" w:hAnsi="Arial"/>
          <w:i w:val="1"/>
          <w:sz w:val="18"/>
          <w:szCs w:val="18"/>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2460, Artículo 7, del 20 de abril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418"/>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Autorizar la participación de la Licda. Cristina Gómez, Directora de la Biblioteca José Figueres Ferrer, para que asista a la XI Asamblea Regional del Sistema de Información Documental Centroamericano (SIDCA-CSUCA), por celebrarse en la Ciudad Panamá, del 26 al 28 de abril del 2006.</w:t>
      </w:r>
      <w:r w:rsidDel="00000000" w:rsidR="00000000" w:rsidRPr="00000000">
        <w:rPr>
          <w:rtl w:val="0"/>
        </w:rPr>
      </w:r>
    </w:p>
    <w:p w:rsidR="00000000" w:rsidDel="00000000" w:rsidP="00000000" w:rsidRDefault="00000000" w:rsidRPr="00000000">
      <w:pPr>
        <w:tabs>
          <w:tab w:val="left" w:pos="1418"/>
        </w:tabs>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418"/>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Otorgar el pago de viáticos por un monto total de $849.72, desglosado de la siguiente manera:  </w:t>
      </w:r>
      <w:r w:rsidDel="00000000" w:rsidR="00000000" w:rsidRPr="00000000">
        <w:rPr>
          <w:rtl w:val="0"/>
        </w:rPr>
      </w:r>
    </w:p>
    <w:p w:rsidR="00000000" w:rsidDel="00000000" w:rsidP="00000000" w:rsidRDefault="00000000" w:rsidRPr="00000000">
      <w:pPr>
        <w:spacing w:after="0" w:before="0" w:line="240" w:lineRule="auto"/>
        <w:ind w:left="360" w:right="18" w:hanging="360"/>
        <w:contextualSpacing w:val="0"/>
        <w:jc w:val="both"/>
      </w:pPr>
      <w:r w:rsidDel="00000000" w:rsidR="00000000" w:rsidRPr="00000000">
        <w:rPr>
          <w:rFonts w:ascii="Arial" w:cs="Arial" w:eastAsia="Arial" w:hAnsi="Arial"/>
          <w:b w:val="0"/>
          <w:sz w:val="22"/>
          <w:szCs w:val="22"/>
          <w:vertAlign w:val="baseline"/>
          <w:rtl w:val="0"/>
        </w:rPr>
        <w:tab/>
        <w:tab/>
        <w:tab/>
        <w:t xml:space="preserve">$349.72</w:t>
        <w:tab/>
        <w:t xml:space="preserve">Transporte en el Exterior </w:t>
      </w:r>
    </w:p>
    <w:p w:rsidR="00000000" w:rsidDel="00000000" w:rsidP="00000000" w:rsidRDefault="00000000" w:rsidRPr="00000000">
      <w:pPr>
        <w:spacing w:after="0" w:before="0" w:line="240" w:lineRule="auto"/>
        <w:ind w:left="360" w:right="18" w:hanging="360"/>
        <w:contextualSpacing w:val="0"/>
        <w:jc w:val="both"/>
      </w:pPr>
      <w:r w:rsidDel="00000000" w:rsidR="00000000" w:rsidRPr="00000000">
        <w:rPr>
          <w:rFonts w:ascii="Arial" w:cs="Arial" w:eastAsia="Arial" w:hAnsi="Arial"/>
          <w:b w:val="0"/>
          <w:sz w:val="22"/>
          <w:szCs w:val="22"/>
          <w:vertAlign w:val="baseline"/>
          <w:rtl w:val="0"/>
        </w:rPr>
        <w:tab/>
        <w:tab/>
        <w:tab/>
        <w:t xml:space="preserve">$500</w:t>
        <w:tab/>
        <w:tab/>
        <w:t xml:space="preserve">Viáticos en el Exterior </w:t>
      </w:r>
    </w:p>
    <w:p w:rsidR="00000000" w:rsidDel="00000000" w:rsidP="00000000" w:rsidRDefault="00000000" w:rsidRPr="00000000">
      <w:pPr>
        <w:spacing w:after="0" w:before="0" w:line="240" w:lineRule="auto"/>
        <w:ind w:left="360" w:right="18" w:hanging="36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418"/>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Solicitar a la Licda. Cristina Gómez, Directora de la Biblioteca José Figueres Ferrer, que presente un informe, 15 días naturales después de su regreso al país.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sectPr>
      <w:headerReference r:id="rId5" w:type="default"/>
      <w:pgSz w:h="16838" w:w="11906"/>
      <w:pgMar w:bottom="1440" w:top="1474" w:left="1531" w:right="15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