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vertAlign w:val="baseline"/>
          <w:rtl w:val="0"/>
        </w:rPr>
        <w:t xml:space="preserve">SCI-294-2006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vertAlign w:val="baseline"/>
          <w:rtl w:val="0"/>
        </w:rPr>
        <w:t xml:space="preserve">23 de mayo del 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RECTORÍA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MBA. José Rafael Hidalgo R., Vicerrector de Administración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Lic. Elías Calderón O., Director del Departamento Financiero Contable</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1"/>
              <w:contextualSpacing w:val="0"/>
              <w:jc w:val="both"/>
            </w:pPr>
            <w:r w:rsidDel="00000000" w:rsidR="00000000" w:rsidRPr="00000000">
              <w:rPr>
                <w:rFonts w:ascii="Arial" w:cs="Arial" w:eastAsia="Arial" w:hAnsi="Arial"/>
                <w:b w:val="1"/>
                <w:vertAlign w:val="baseline"/>
                <w:rtl w:val="0"/>
              </w:rPr>
              <w:t xml:space="preserve">Lic. Walter Sequeira Fallas, Director del Departamento de Aprovisionamiento</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1"/>
              <w:contextualSpacing w:val="0"/>
              <w:jc w:val="both"/>
            </w:pPr>
            <w:r w:rsidDel="00000000" w:rsidR="00000000" w:rsidRPr="00000000">
              <w:rPr>
                <w:rFonts w:ascii="Arial" w:cs="Arial" w:eastAsia="Arial" w:hAnsi="Arial"/>
                <w:b w:val="1"/>
                <w:vertAlign w:val="baseline"/>
                <w:rtl w:val="0"/>
              </w:rPr>
              <w:t xml:space="preserve">Licda. Ligia Rivas R., Vicerrectora de Vida Estudiantil y Servicios Académicos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Rosaura Méndez Gamboa, Directora Escuela Cultura y Deporte</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Msc. Biery Loaiza Soto, Funcionario Escuela de Cultura y Deporte</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1"/>
              <w:contextualSpacing w:val="0"/>
              <w:jc w:val="both"/>
            </w:pPr>
            <w:r w:rsidDel="00000000" w:rsidR="00000000" w:rsidRPr="00000000">
              <w:rPr>
                <w:rFonts w:ascii="Arial" w:cs="Arial" w:eastAsia="Arial" w:hAnsi="Arial"/>
                <w:b w:val="1"/>
                <w:vertAlign w:val="baseline"/>
                <w:rtl w:val="0"/>
              </w:rPr>
              <w:t xml:space="preserve">Lic. Nelson Cordero Maroto, Funcionario Escuela de Cultura y Deporte</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1"/>
              <w:contextualSpacing w:val="0"/>
              <w:jc w:val="both"/>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Licda. Bertalía Sánchez S., Directora Ejecutiva de la Secretaría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Sesión Extraordinaria No. 2465, Artículo 3, del 23 de mayo del 2006. Autorización de pago de viáticos para que tres personas funcionarias de la Escuela de Cultura y Deporte de la Sede Central, asistan a los Juegos Universitarios Centroamericanos y del Caribe (ODUCC), por celebrarse en las Ciudades de Caracas y Valencia, Venezuela, del 26 de mayo al 03 de junio</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spacing w:after="0" w:before="0" w:line="240" w:lineRule="auto"/>
        <w:ind w:left="1440" w:hanging="144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18"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La Secretaría del Consejo Institucional, con fecha 16 de mayo del 2006, recibió memorando VIESA-348-06, suscrito por la Licda. Ligia Rivas R., Vicerrectora de Vida Estudiantil y Servicios Académicos, dirigido al MSc. Eugenio Trejos Benavides, Presidente del Consejo Institucional, en el cual solicita someter ante el Consejo Institucional la autorización correspondiente para el pago de viáticos en el exterior a las personas funcionarias de la Unidad de Deportes de la Sede Central, señores  Biery Loaiza Soto y Nelson Cordero Maroto y señora Rosaura Méndez Gamboa, para que representen a la Institución en los XVI Juegos Deportivos Universitarios Centroamericanos y del Caribe (ODUCC), que se celebrarán en las Ciudades de Caracas y Valencia, Venezuela, del 26 de mayo al 03 de junio del 2006.  </w:t>
      </w:r>
    </w:p>
    <w:p w:rsidR="00000000" w:rsidDel="00000000" w:rsidP="00000000" w:rsidRDefault="00000000" w:rsidRPr="00000000">
      <w:pPr>
        <w:spacing w:after="0" w:before="0" w:line="240" w:lineRule="auto"/>
        <w:ind w:right="18"/>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18"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La Escuela de Cultura y Deporte, en la Sesión No. 5, Artículo 8, del 13 de marzo del 2006, aprobó contemplar dicha participación en el Plan de Trabajo de la Escuela. </w:t>
      </w:r>
    </w:p>
    <w:p w:rsidR="00000000" w:rsidDel="00000000" w:rsidP="00000000" w:rsidRDefault="00000000" w:rsidRPr="00000000">
      <w:pPr>
        <w:spacing w:after="0" w:before="0" w:line="240" w:lineRule="auto"/>
        <w:ind w:right="18"/>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18"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Consejo Institucional, en la Sesión Extraordinaria No. 2465, Artículo 2, del 23 de mayo del 2006, aprobó las modificaciones presupuestarias Nos. 158 y 166 del Programa VIESA, para dar contenido presupuestario a la partida “Viáticos en el Exterior” y “Transportes en el Exterior” del Programa VIESA, para apoyar a las personas funcionarias con un monto de $1.000, para que participarán en la citada actividad. </w:t>
      </w:r>
    </w:p>
    <w:p w:rsidR="00000000" w:rsidDel="00000000" w:rsidP="00000000" w:rsidRDefault="00000000" w:rsidRPr="00000000">
      <w:pPr>
        <w:spacing w:after="0" w:before="0" w:line="240" w:lineRule="auto"/>
        <w:ind w:right="18"/>
        <w:contextualSpacing w:val="0"/>
        <w:jc w:val="both"/>
      </w:pP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Extraordinaria No. 2465, Artículo 3, del 23 de mayo del 2006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vertAlign w:val="baseline"/>
          <w:rtl w:val="0"/>
        </w:rPr>
        <w:t xml:space="preserve">Página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18"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Reglamento de Gastos de Viaje y de Transporte para Funcionarios Públicos, en su Artículo 31, dice:</w:t>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left="993" w:right="-285" w:firstLine="0"/>
        <w:contextualSpacing w:val="0"/>
        <w:jc w:val="both"/>
      </w:pPr>
      <w:r w:rsidDel="00000000" w:rsidR="00000000" w:rsidRPr="00000000">
        <w:rPr>
          <w:rFonts w:ascii="Arial" w:cs="Arial" w:eastAsia="Arial" w:hAnsi="Arial"/>
          <w:i w:val="1"/>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left="993" w:right="902" w:firstLine="0"/>
        <w:contextualSpacing w:val="0"/>
        <w:jc w:val="both"/>
      </w:pPr>
      <w:r w:rsidDel="00000000" w:rsidR="00000000" w:rsidRPr="00000000">
        <w:rPr>
          <w:rFonts w:ascii="Arial" w:cs="Arial" w:eastAsia="Arial" w:hAnsi="Arial"/>
          <w:i w:val="1"/>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tabs>
          <w:tab w:val="left" w:pos="1620"/>
        </w:tabs>
        <w:ind w:left="360" w:firstLine="0"/>
        <w:contextualSpacing w:val="0"/>
      </w:pPr>
      <w:r w:rsidDel="00000000" w:rsidR="00000000" w:rsidRPr="00000000">
        <w:rPr>
          <w:rtl w:val="0"/>
        </w:rPr>
      </w:r>
    </w:p>
    <w:p w:rsidR="00000000" w:rsidDel="00000000" w:rsidP="00000000" w:rsidRDefault="00000000" w:rsidRPr="00000000">
      <w:pPr>
        <w:numPr>
          <w:ilvl w:val="0"/>
          <w:numId w:val="4"/>
        </w:numPr>
        <w:tabs>
          <w:tab w:val="left" w:pos="1620"/>
        </w:tabs>
        <w:ind w:left="1276" w:hanging="283"/>
        <w:jc w:val="both"/>
        <w:rPr>
          <w:rFonts w:ascii="Arial" w:cs="Arial" w:eastAsia="Arial" w:hAnsi="Arial"/>
          <w:b w:val="0"/>
          <w:i w:val="0"/>
          <w:sz w:val="20"/>
          <w:szCs w:val="20"/>
        </w:rPr>
      </w:pPr>
      <w:r w:rsidDel="00000000" w:rsidR="00000000" w:rsidRPr="00000000">
        <w:rPr>
          <w:rFonts w:ascii="Arial" w:cs="Arial" w:eastAsia="Arial" w:hAnsi="Arial"/>
          <w:i w:val="1"/>
          <w:vertAlign w:val="baseline"/>
          <w:rtl w:val="0"/>
        </w:rPr>
        <w:t xml:space="preserve">Nombre del funcionario</w:t>
      </w:r>
      <w:r w:rsidDel="00000000" w:rsidR="00000000" w:rsidRPr="00000000">
        <w:rPr>
          <w:rtl w:val="0"/>
        </w:rPr>
      </w:r>
    </w:p>
    <w:p w:rsidR="00000000" w:rsidDel="00000000" w:rsidP="00000000" w:rsidRDefault="00000000" w:rsidRPr="00000000">
      <w:pPr>
        <w:numPr>
          <w:ilvl w:val="0"/>
          <w:numId w:val="4"/>
        </w:numPr>
        <w:tabs>
          <w:tab w:val="left" w:pos="1620"/>
        </w:tabs>
        <w:ind w:left="1276" w:hanging="283"/>
        <w:jc w:val="both"/>
        <w:rPr>
          <w:rFonts w:ascii="Arial" w:cs="Arial" w:eastAsia="Arial" w:hAnsi="Arial"/>
          <w:b w:val="0"/>
          <w:i w:val="0"/>
          <w:sz w:val="20"/>
          <w:szCs w:val="20"/>
        </w:rPr>
      </w:pPr>
      <w:r w:rsidDel="00000000" w:rsidR="00000000" w:rsidRPr="00000000">
        <w:rPr>
          <w:rFonts w:ascii="Arial" w:cs="Arial" w:eastAsia="Arial" w:hAnsi="Arial"/>
          <w:i w:val="1"/>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0"/>
          <w:numId w:val="4"/>
        </w:numPr>
        <w:tabs>
          <w:tab w:val="left" w:pos="1620"/>
        </w:tabs>
        <w:ind w:left="1276" w:hanging="283"/>
        <w:jc w:val="both"/>
        <w:rPr>
          <w:rFonts w:ascii="Arial" w:cs="Arial" w:eastAsia="Arial" w:hAnsi="Arial"/>
          <w:b w:val="0"/>
          <w:i w:val="0"/>
          <w:sz w:val="20"/>
          <w:szCs w:val="20"/>
        </w:rPr>
      </w:pPr>
      <w:r w:rsidDel="00000000" w:rsidR="00000000" w:rsidRPr="00000000">
        <w:rPr>
          <w:rFonts w:ascii="Arial" w:cs="Arial" w:eastAsia="Arial" w:hAnsi="Arial"/>
          <w:i w:val="1"/>
          <w:vertAlign w:val="baseline"/>
          <w:rtl w:val="0"/>
        </w:rPr>
        <w:t xml:space="preserve">Países a visitar</w:t>
      </w:r>
      <w:r w:rsidDel="00000000" w:rsidR="00000000" w:rsidRPr="00000000">
        <w:rPr>
          <w:rtl w:val="0"/>
        </w:rPr>
      </w:r>
    </w:p>
    <w:p w:rsidR="00000000" w:rsidDel="00000000" w:rsidP="00000000" w:rsidRDefault="00000000" w:rsidRPr="00000000">
      <w:pPr>
        <w:numPr>
          <w:ilvl w:val="0"/>
          <w:numId w:val="4"/>
        </w:numPr>
        <w:tabs>
          <w:tab w:val="left" w:pos="1620"/>
        </w:tabs>
        <w:ind w:left="1276" w:hanging="283"/>
        <w:jc w:val="both"/>
        <w:rPr>
          <w:rFonts w:ascii="Arial" w:cs="Arial" w:eastAsia="Arial" w:hAnsi="Arial"/>
          <w:b w:val="0"/>
          <w:i w:val="0"/>
          <w:sz w:val="20"/>
          <w:szCs w:val="20"/>
        </w:rPr>
      </w:pPr>
      <w:r w:rsidDel="00000000" w:rsidR="00000000" w:rsidRPr="00000000">
        <w:rPr>
          <w:rFonts w:ascii="Arial" w:cs="Arial" w:eastAsia="Arial" w:hAnsi="Arial"/>
          <w:i w:val="1"/>
          <w:vertAlign w:val="baseline"/>
          <w:rtl w:val="0"/>
        </w:rPr>
        <w:t xml:space="preserve">Período del viaje</w:t>
      </w:r>
      <w:r w:rsidDel="00000000" w:rsidR="00000000" w:rsidRPr="00000000">
        <w:rPr>
          <w:rtl w:val="0"/>
        </w:rPr>
      </w:r>
    </w:p>
    <w:p w:rsidR="00000000" w:rsidDel="00000000" w:rsidP="00000000" w:rsidRDefault="00000000" w:rsidRPr="00000000">
      <w:pPr>
        <w:numPr>
          <w:ilvl w:val="0"/>
          <w:numId w:val="4"/>
        </w:numPr>
        <w:tabs>
          <w:tab w:val="left" w:pos="1620"/>
        </w:tabs>
        <w:ind w:left="1276" w:hanging="283"/>
        <w:jc w:val="both"/>
        <w:rPr>
          <w:rFonts w:ascii="Arial" w:cs="Arial" w:eastAsia="Arial" w:hAnsi="Arial"/>
          <w:b w:val="0"/>
          <w:i w:val="0"/>
          <w:sz w:val="20"/>
          <w:szCs w:val="20"/>
        </w:rPr>
      </w:pPr>
      <w:r w:rsidDel="00000000" w:rsidR="00000000" w:rsidRPr="00000000">
        <w:rPr>
          <w:rFonts w:ascii="Arial" w:cs="Arial" w:eastAsia="Arial" w:hAnsi="Arial"/>
          <w:i w:val="1"/>
          <w:vertAlign w:val="baseline"/>
          <w:rtl w:val="0"/>
        </w:rPr>
        <w:t xml:space="preserve">Objetivos del viaje</w:t>
      </w:r>
      <w:r w:rsidDel="00000000" w:rsidR="00000000" w:rsidRPr="00000000">
        <w:rPr>
          <w:rtl w:val="0"/>
        </w:rPr>
      </w:r>
    </w:p>
    <w:p w:rsidR="00000000" w:rsidDel="00000000" w:rsidP="00000000" w:rsidRDefault="00000000" w:rsidRPr="00000000">
      <w:pPr>
        <w:numPr>
          <w:ilvl w:val="0"/>
          <w:numId w:val="4"/>
        </w:numPr>
        <w:tabs>
          <w:tab w:val="left" w:pos="1620"/>
        </w:tabs>
        <w:ind w:left="1276" w:hanging="283"/>
        <w:jc w:val="both"/>
        <w:rPr>
          <w:rFonts w:ascii="Arial" w:cs="Arial" w:eastAsia="Arial" w:hAnsi="Arial"/>
          <w:b w:val="0"/>
          <w:i w:val="0"/>
          <w:sz w:val="20"/>
          <w:szCs w:val="20"/>
        </w:rPr>
      </w:pPr>
      <w:r w:rsidDel="00000000" w:rsidR="00000000" w:rsidRPr="00000000">
        <w:rPr>
          <w:rFonts w:ascii="Arial" w:cs="Arial" w:eastAsia="Arial" w:hAnsi="Arial"/>
          <w:i w:val="1"/>
          <w:vertAlign w:val="baseline"/>
          <w:rtl w:val="0"/>
        </w:rPr>
        <w:t xml:space="preserve">Monto del adelanto</w:t>
      </w:r>
      <w:r w:rsidDel="00000000" w:rsidR="00000000" w:rsidRPr="00000000">
        <w:rPr>
          <w:rtl w:val="0"/>
        </w:rPr>
      </w:r>
    </w:p>
    <w:p w:rsidR="00000000" w:rsidDel="00000000" w:rsidP="00000000" w:rsidRDefault="00000000" w:rsidRPr="00000000">
      <w:pPr>
        <w:numPr>
          <w:ilvl w:val="0"/>
          <w:numId w:val="4"/>
        </w:numPr>
        <w:tabs>
          <w:tab w:val="left" w:pos="1620"/>
        </w:tabs>
        <w:ind w:left="1276" w:hanging="283"/>
        <w:jc w:val="both"/>
        <w:rPr>
          <w:rFonts w:ascii="Arial" w:cs="Arial" w:eastAsia="Arial" w:hAnsi="Arial"/>
          <w:b w:val="0"/>
          <w:i w:val="0"/>
          <w:sz w:val="20"/>
          <w:szCs w:val="20"/>
        </w:rPr>
      </w:pPr>
      <w:r w:rsidDel="00000000" w:rsidR="00000000" w:rsidRPr="00000000">
        <w:rPr>
          <w:rFonts w:ascii="Arial" w:cs="Arial" w:eastAsia="Arial" w:hAnsi="Arial"/>
          <w:i w:val="1"/>
          <w:vertAlign w:val="baseline"/>
          <w:rtl w:val="0"/>
        </w:rPr>
        <w:t xml:space="preserve">Gastos conexos autorizados”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vertAlign w:val="baseline"/>
          <w:rtl w:val="0"/>
        </w:rPr>
        <w:t xml:space="preserve">ACUERDA:</w:t>
      </w:r>
      <w:r w:rsidDel="00000000" w:rsidR="00000000" w:rsidRPr="00000000">
        <w:rPr>
          <w:rtl w:val="0"/>
        </w:rPr>
      </w:r>
    </w:p>
    <w:p w:rsidR="00000000" w:rsidDel="00000000" w:rsidP="00000000" w:rsidRDefault="00000000" w:rsidRPr="00000000">
      <w:pPr>
        <w:ind w:left="927" w:right="18"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26" w:right="18" w:hanging="426"/>
        <w:jc w:val="both"/>
        <w:rPr/>
      </w:pPr>
      <w:r w:rsidDel="00000000" w:rsidR="00000000" w:rsidRPr="00000000">
        <w:rPr>
          <w:rFonts w:ascii="Arial" w:cs="Arial" w:eastAsia="Arial" w:hAnsi="Arial"/>
          <w:b w:val="0"/>
          <w:sz w:val="22"/>
          <w:szCs w:val="22"/>
          <w:vertAlign w:val="baseline"/>
          <w:rtl w:val="0"/>
        </w:rPr>
        <w:t xml:space="preserve">Autorizar el adelanto del pago de viáticos por un monto de $1.000 (mil dólares), sujeto a liquidación, para cada una de las personas funcionarias que representarán a la Institución en los XVI Juegos Deportivos Universitarios Centroamericanos y del Caribe (ODUCC), que se celebrarán en las Ciudades de Caracas y Valencia, Venezuela, del 26 de mayo al 03 de junio del 2006.  Las personas son:</w:t>
      </w:r>
    </w:p>
    <w:p w:rsidR="00000000" w:rsidDel="00000000" w:rsidP="00000000" w:rsidRDefault="00000000" w:rsidRPr="00000000">
      <w:pPr>
        <w:spacing w:after="0" w:before="0" w:line="240" w:lineRule="auto"/>
        <w:ind w:right="18"/>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right="18" w:hanging="360"/>
        <w:jc w:val="both"/>
        <w:rPr>
          <w:b w:val="0"/>
          <w:sz w:val="22"/>
          <w:szCs w:val="22"/>
        </w:rPr>
      </w:pPr>
      <w:r w:rsidDel="00000000" w:rsidR="00000000" w:rsidRPr="00000000">
        <w:rPr>
          <w:rFonts w:ascii="Arial" w:cs="Arial" w:eastAsia="Arial" w:hAnsi="Arial"/>
          <w:b w:val="0"/>
          <w:sz w:val="22"/>
          <w:szCs w:val="22"/>
          <w:vertAlign w:val="baseline"/>
          <w:rtl w:val="0"/>
        </w:rPr>
        <w:t xml:space="preserve">Licda. Rosaura Méndez Gamboa</w:t>
      </w:r>
    </w:p>
    <w:p w:rsidR="00000000" w:rsidDel="00000000" w:rsidP="00000000" w:rsidRDefault="00000000" w:rsidRPr="00000000">
      <w:pPr>
        <w:numPr>
          <w:ilvl w:val="0"/>
          <w:numId w:val="2"/>
        </w:numPr>
        <w:spacing w:after="0" w:before="0" w:line="240" w:lineRule="auto"/>
        <w:ind w:left="720" w:right="18" w:hanging="360"/>
        <w:jc w:val="both"/>
        <w:rPr>
          <w:b w:val="0"/>
          <w:sz w:val="22"/>
          <w:szCs w:val="22"/>
        </w:rPr>
      </w:pPr>
      <w:r w:rsidDel="00000000" w:rsidR="00000000" w:rsidRPr="00000000">
        <w:rPr>
          <w:rFonts w:ascii="Arial" w:cs="Arial" w:eastAsia="Arial" w:hAnsi="Arial"/>
          <w:b w:val="0"/>
          <w:sz w:val="22"/>
          <w:szCs w:val="22"/>
          <w:vertAlign w:val="baseline"/>
          <w:rtl w:val="0"/>
        </w:rPr>
        <w:t xml:space="preserve">Msc. Biery Loaiza Soto</w:t>
      </w:r>
    </w:p>
    <w:p w:rsidR="00000000" w:rsidDel="00000000" w:rsidP="00000000" w:rsidRDefault="00000000" w:rsidRPr="00000000">
      <w:pPr>
        <w:numPr>
          <w:ilvl w:val="0"/>
          <w:numId w:val="2"/>
        </w:numPr>
        <w:spacing w:after="0" w:before="0" w:line="240" w:lineRule="auto"/>
        <w:ind w:left="720" w:right="18" w:hanging="360"/>
        <w:jc w:val="both"/>
        <w:rPr>
          <w:b w:val="0"/>
          <w:sz w:val="22"/>
          <w:szCs w:val="22"/>
        </w:rPr>
      </w:pPr>
      <w:r w:rsidDel="00000000" w:rsidR="00000000" w:rsidRPr="00000000">
        <w:rPr>
          <w:rFonts w:ascii="Arial" w:cs="Arial" w:eastAsia="Arial" w:hAnsi="Arial"/>
          <w:b w:val="0"/>
          <w:sz w:val="22"/>
          <w:szCs w:val="22"/>
          <w:vertAlign w:val="baseline"/>
          <w:rtl w:val="0"/>
        </w:rPr>
        <w:t xml:space="preserve">Lic. Nelson Cordero Maroto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426" w:right="18" w:hanging="426"/>
        <w:jc w:val="both"/>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6"/>
          <w:szCs w:val="16"/>
          <w:vertAlign w:val="baseline"/>
          <w:rtl w:val="0"/>
        </w:rPr>
        <w:t xml:space="preserve">BSS/mma</w:t>
      </w:r>
      <w:r w:rsidDel="00000000" w:rsidR="00000000" w:rsidRPr="00000000">
        <w:rPr>
          <w:rtl w:val="0"/>
        </w:rPr>
      </w:r>
    </w:p>
    <w:tbl>
      <w:tblPr>
        <w:tblStyle w:val="Table2"/>
        <w:bidi w:val="0"/>
        <w:tblW w:w="8434.0" w:type="dxa"/>
        <w:jc w:val="left"/>
        <w:tblInd w:w="-70.0" w:type="dxa"/>
        <w:tblLayout w:type="fixed"/>
        <w:tblLook w:val="0000"/>
      </w:tblPr>
      <w:tblGrid>
        <w:gridCol w:w="4750"/>
        <w:gridCol w:w="3684"/>
        <w:tblGridChange w:id="0">
          <w:tblGrid>
            <w:gridCol w:w="4750"/>
            <w:gridCol w:w="3684"/>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      VIESA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pgSz w:h="15842" w:w="12242"/>
      <w:pgMar w:bottom="1134" w:top="1134"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bullet"/>
      <w:lvlText w:val="▪"/>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