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SCI- 011 -2009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22 de enero del 2009</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MSc. Eugenio Trejos Benavides,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MSc. Giannina Ortiz,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Ligia Rivas, Vicerrectora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MSc. William Vives, Director del Departamento de Administración y Registro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Máster Ronald Elizondo, Director de la Escuela de Ingeniería Agropecuaria Administrativa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Ing. Milton Solórzano, Director de la Escuela de Ingeniería Agrícola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Ing. Arnoldo Gadea, Director de la Escuela de Agronomía, Sede Regional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Dr. Julio Cesar Calvo, Director de la Escuela de Ingeniería Forestal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Máster Ronald Elizondo, Director de la Escuela de Ingeniería Agropecuaria Administrativa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2592, Artículo 11, del 22 de enero del 2009.  Modificación del acuerdo de la Sesión Extraordinaria No. 2583, Art. 3 del 27 de octubre del 2008, “Modificación al acuerdo sobre el Plan de Admisión Diferenciada para las Carreras Agroforestales, Iera  fase” </w:t>
            </w:r>
            <w:r w:rsidDel="00000000" w:rsidR="00000000" w:rsidRPr="00000000">
              <w:rPr>
                <w:rtl w:val="0"/>
              </w:rPr>
            </w:r>
          </w:p>
        </w:tc>
      </w:tr>
    </w:tbl>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 2561, Art. 13, del 05 de junio del 2008 acordó, con respecto a la Primera Fase del Plan de Admisión Diferenciada para las Carreras Agroforestales: </w:t>
      </w:r>
      <w:r w:rsidDel="00000000" w:rsidR="00000000" w:rsidRPr="00000000">
        <w:rPr>
          <w:rtl w:val="0"/>
        </w:rPr>
      </w:r>
    </w:p>
    <w:p w:rsidR="00000000" w:rsidDel="00000000" w:rsidP="00000000" w:rsidRDefault="00000000" w:rsidRPr="00000000">
      <w:pPr>
        <w:spacing w:before="120" w:lineRule="auto"/>
        <w:ind w:left="540" w:right="584" w:firstLine="0"/>
        <w:contextualSpacing w:val="0"/>
        <w:jc w:val="both"/>
      </w:pPr>
      <w:r w:rsidDel="00000000" w:rsidR="00000000" w:rsidRPr="00000000">
        <w:rPr>
          <w:i w:val="1"/>
          <w:sz w:val="20"/>
          <w:szCs w:val="20"/>
          <w:vertAlign w:val="baseline"/>
          <w:rtl w:val="0"/>
        </w:rPr>
        <w:t xml:space="preserve">“Bajar la nota de corte hasta llegar a 400 puntos, únicamente para los estudiantes que ingresarán en matrícula extraordinaria, bajo el Plan de Admisión Diferenciada para las Carreras Agroforestales.</w:t>
      </w:r>
      <w:r w:rsidDel="00000000" w:rsidR="00000000" w:rsidRPr="00000000">
        <w:rPr>
          <w:rtl w:val="0"/>
        </w:rPr>
      </w:r>
    </w:p>
    <w:p w:rsidR="00000000" w:rsidDel="00000000" w:rsidP="00000000" w:rsidRDefault="00000000" w:rsidRPr="00000000">
      <w:pPr>
        <w:numPr>
          <w:ilvl w:val="0"/>
          <w:numId w:val="3"/>
        </w:numPr>
        <w:spacing w:before="120" w:lineRule="auto"/>
        <w:ind w:left="1080" w:hanging="540"/>
        <w:jc w:val="both"/>
        <w:rPr>
          <w:b w:val="0"/>
          <w:i w:val="1"/>
          <w:sz w:val="20"/>
          <w:szCs w:val="20"/>
        </w:rPr>
      </w:pPr>
      <w:r w:rsidDel="00000000" w:rsidR="00000000" w:rsidRPr="00000000">
        <w:rPr>
          <w:i w:val="1"/>
          <w:sz w:val="20"/>
          <w:szCs w:val="20"/>
          <w:vertAlign w:val="baseline"/>
          <w:rtl w:val="0"/>
        </w:rPr>
        <w:t xml:space="preserve">Las variables que se van a tomar en cuenta, además de la nota obtenida son:</w:t>
      </w:r>
      <w:r w:rsidDel="00000000" w:rsidR="00000000" w:rsidRPr="00000000">
        <w:rPr>
          <w:rtl w:val="0"/>
        </w:rPr>
      </w:r>
    </w:p>
    <w:p w:rsidR="00000000" w:rsidDel="00000000" w:rsidP="00000000" w:rsidRDefault="00000000" w:rsidRPr="00000000">
      <w:pPr>
        <w:numPr>
          <w:ilvl w:val="0"/>
          <w:numId w:val="3"/>
        </w:numPr>
        <w:spacing w:before="120" w:lineRule="auto"/>
        <w:ind w:left="1080" w:hanging="540"/>
        <w:jc w:val="both"/>
        <w:rPr>
          <w:b w:val="0"/>
          <w:i w:val="1"/>
          <w:sz w:val="20"/>
          <w:szCs w:val="20"/>
        </w:rPr>
      </w:pPr>
      <w:r w:rsidDel="00000000" w:rsidR="00000000" w:rsidRPr="00000000">
        <w:rPr>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3"/>
        </w:numPr>
        <w:spacing w:before="120" w:lineRule="auto"/>
        <w:ind w:left="1080" w:hanging="540"/>
        <w:jc w:val="both"/>
        <w:rPr>
          <w:b w:val="0"/>
          <w:i w:val="1"/>
          <w:sz w:val="20"/>
          <w:szCs w:val="20"/>
        </w:rPr>
      </w:pPr>
      <w:r w:rsidDel="00000000" w:rsidR="00000000" w:rsidRPr="00000000">
        <w:rPr>
          <w:i w:val="1"/>
          <w:sz w:val="20"/>
          <w:szCs w:val="20"/>
          <w:vertAlign w:val="baseline"/>
          <w:rtl w:val="0"/>
        </w:rPr>
        <w:t xml:space="preserve">Condición  socioeconómica  y zona  de origen  (Índice  de  Desarrollo</w:t>
      </w:r>
      <w:r w:rsidDel="00000000" w:rsidR="00000000" w:rsidRPr="00000000">
        <w:rPr>
          <w:rtl w:val="0"/>
        </w:rPr>
      </w:r>
    </w:p>
    <w:p w:rsidR="00000000" w:rsidDel="00000000" w:rsidP="00000000" w:rsidRDefault="00000000" w:rsidRPr="00000000">
      <w:pPr>
        <w:spacing w:before="120" w:lineRule="auto"/>
        <w:ind w:left="540" w:firstLine="0"/>
        <w:contextualSpacing w:val="0"/>
        <w:jc w:val="both"/>
      </w:pPr>
      <w:r w:rsidDel="00000000" w:rsidR="00000000" w:rsidRPr="00000000">
        <w:rPr>
          <w:i w:val="1"/>
          <w:sz w:val="20"/>
          <w:szCs w:val="20"/>
          <w:vertAlign w:val="baseline"/>
          <w:rtl w:val="0"/>
        </w:rPr>
        <w:tab/>
        <w:t xml:space="preserve">Socioeconómico)</w:t>
      </w:r>
      <w:r w:rsidDel="00000000" w:rsidR="00000000" w:rsidRPr="00000000">
        <w:rPr>
          <w:rtl w:val="0"/>
        </w:rPr>
      </w:r>
    </w:p>
    <w:p w:rsidR="00000000" w:rsidDel="00000000" w:rsidP="00000000" w:rsidRDefault="00000000" w:rsidRPr="00000000">
      <w:pPr>
        <w:numPr>
          <w:ilvl w:val="0"/>
          <w:numId w:val="3"/>
        </w:numPr>
        <w:spacing w:before="120" w:lineRule="auto"/>
        <w:ind w:left="1080" w:hanging="540"/>
        <w:jc w:val="both"/>
        <w:rPr>
          <w:b w:val="0"/>
          <w:i w:val="1"/>
          <w:sz w:val="20"/>
          <w:szCs w:val="20"/>
        </w:rPr>
      </w:pPr>
      <w:r w:rsidDel="00000000" w:rsidR="00000000" w:rsidRPr="00000000">
        <w:rPr>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3"/>
        </w:numPr>
        <w:spacing w:before="120" w:lineRule="auto"/>
        <w:ind w:left="1080" w:hanging="540"/>
        <w:jc w:val="both"/>
        <w:rPr>
          <w:b w:val="0"/>
          <w:i w:val="1"/>
          <w:sz w:val="20"/>
          <w:szCs w:val="20"/>
        </w:rPr>
      </w:pPr>
      <w:r w:rsidDel="00000000" w:rsidR="00000000" w:rsidRPr="00000000">
        <w:rPr>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 2583, Artículo 3, del 27 de octubre del 2008 acordó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2592, Artículo 11, del 22 de enero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before="120" w:lineRule="auto"/>
        <w:ind w:left="708" w:firstLine="0"/>
        <w:contextualSpacing w:val="0"/>
        <w:jc w:val="both"/>
      </w:pPr>
      <w:r w:rsidDel="00000000" w:rsidR="00000000" w:rsidRPr="00000000">
        <w:rPr>
          <w:i w:val="1"/>
          <w:sz w:val="20"/>
          <w:szCs w:val="20"/>
          <w:vertAlign w:val="baseline"/>
          <w:rtl w:val="0"/>
        </w:rPr>
        <w:t xml:space="preserve">“Para efectos de la matrícula 2009, se procederá de la siguiente forma:</w:t>
      </w:r>
      <w:r w:rsidDel="00000000" w:rsidR="00000000" w:rsidRPr="00000000">
        <w:rPr>
          <w:rtl w:val="0"/>
        </w:rPr>
      </w:r>
    </w:p>
    <w:p w:rsidR="00000000" w:rsidDel="00000000" w:rsidP="00000000" w:rsidRDefault="00000000" w:rsidRPr="00000000">
      <w:pPr>
        <w:numPr>
          <w:ilvl w:val="0"/>
          <w:numId w:val="2"/>
        </w:numPr>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2"/>
        </w:numPr>
        <w:tabs>
          <w:tab w:val="left" w:pos="1080"/>
        </w:tabs>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numPr>
          <w:ilvl w:val="0"/>
          <w:numId w:val="2"/>
        </w:numPr>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Las Escuelas con Carreras Agroforestales podrán iniciar el Plan de Admisión Diferenciada a partir de la aprobación de la nota de corte por parte del Consejo Institucional.</w:t>
      </w:r>
      <w:r w:rsidDel="00000000" w:rsidR="00000000" w:rsidRPr="00000000">
        <w:rPr>
          <w:rtl w:val="0"/>
        </w:rPr>
      </w:r>
    </w:p>
    <w:p w:rsidR="00000000" w:rsidDel="00000000" w:rsidP="00000000" w:rsidRDefault="00000000" w:rsidRPr="00000000">
      <w:pPr>
        <w:numPr>
          <w:ilvl w:val="0"/>
          <w:numId w:val="2"/>
        </w:numPr>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Las Escuelas con Carreras Agroforestales, de acuerdo con sus prioridades,  podrán admitir estudiantes elegibles para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0"/>
          <w:numId w:val="2"/>
        </w:numPr>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0"/>
          <w:numId w:val="2"/>
        </w:numPr>
        <w:tabs>
          <w:tab w:val="left" w:pos="1080"/>
        </w:tabs>
        <w:spacing w:before="120" w:lineRule="auto"/>
        <w:ind w:left="1080" w:hanging="360"/>
        <w:jc w:val="both"/>
        <w:rPr>
          <w:rFonts w:ascii="Arial" w:cs="Arial" w:eastAsia="Arial" w:hAnsi="Arial"/>
          <w:i w:val="1"/>
        </w:rPr>
      </w:pPr>
      <w:r w:rsidDel="00000000" w:rsidR="00000000" w:rsidRPr="00000000">
        <w:rPr>
          <w:i w:val="1"/>
          <w:sz w:val="20"/>
          <w:szCs w:val="20"/>
          <w:vertAlign w:val="baseline"/>
          <w:rtl w:val="0"/>
        </w:rPr>
        <w:t xml:space="preserve">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ind w:left="348"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Para la matrícula ordinaria del I-2009 las Escuelas Agroforestales procedieron en conjunto con el Departamento de Admisión y Registro según lo establecido en el acuerdo transcrito anteriormente, realizando las entrevistas respectivas.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Previo a la matrícula ordinaria estudiantes que eligieron otras carreras y superaron la Nota de Corte establecido por el ITCR (485) se acercaron a las Escuelas Agroforestales interesados en ingresar en sus programas. Al día siguiente de la matricula ordinaria se recibieron solicitudes de empadronamiento por parte de estudiantes para la matricula extraordinaria del I-2009 de las Carreras Agroforestales.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1"/>
          <w:sz w:val="20"/>
          <w:szCs w:val="20"/>
        </w:rPr>
      </w:pPr>
      <w:r w:rsidDel="00000000" w:rsidR="00000000" w:rsidRPr="00000000">
        <w:rPr>
          <w:i w:val="0"/>
          <w:sz w:val="24"/>
          <w:szCs w:val="24"/>
          <w:vertAlign w:val="baseline"/>
          <w:rtl w:val="0"/>
        </w:rPr>
        <w:t xml:space="preserve">El empadronamiento para la matrícula extraordinaria I-2009 para las Carreras Agroforestales no se pudo realizar debido a que el acuerdo del Consejo Institucional de las Sesión N</w:t>
      </w:r>
      <w:r w:rsidDel="00000000" w:rsidR="00000000" w:rsidRPr="00000000">
        <w:rPr>
          <w:i w:val="0"/>
          <w:sz w:val="24"/>
          <w:szCs w:val="24"/>
          <w:vertAlign w:val="superscript"/>
          <w:rtl w:val="0"/>
        </w:rPr>
        <w:t xml:space="preserve">o</w:t>
      </w:r>
      <w:r w:rsidDel="00000000" w:rsidR="00000000" w:rsidRPr="00000000">
        <w:rPr>
          <w:i w:val="0"/>
          <w:sz w:val="24"/>
          <w:szCs w:val="24"/>
          <w:vertAlign w:val="baseline"/>
          <w:rtl w:val="0"/>
        </w:rPr>
        <w:t xml:space="preserve"> 2583 es claro en indicar en el inciso 6. </w:t>
      </w:r>
      <w:r w:rsidDel="00000000" w:rsidR="00000000" w:rsidRPr="00000000">
        <w:rPr>
          <w:i w:val="1"/>
          <w:sz w:val="20"/>
          <w:szCs w:val="20"/>
          <w:vertAlign w:val="baseline"/>
          <w:rtl w:val="0"/>
        </w:rPr>
        <w:t xml:space="preserve">“…Estas carreras no tendrán empadronamiento para matrícula extraordinaria”.</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Esta situación tendrá como consecuencia que estudiantes que aprobaron los mecanismos  institucionales de  admisión, no  ingresarán a  las  carreras del  área</w:t>
      </w:r>
      <w:r w:rsidDel="00000000" w:rsidR="00000000" w:rsidRPr="00000000">
        <w:rPr>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2592, Artículo 11, del 22 de enero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agroforestal en matrícula extraordinaria aunque existan cupos disponibles, ya que no fueron empadronados.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Existe la posibilidad de que para la matrícula extraordinaria se permita el empadronamiento de estudiantes, con la autorización del Director de Escuela Agroforestal respectiva, previa entrevista de cada uno de los candidatos(as).  El personal de Admisión y Registro puede apoyar esta labor con el propósito de garantizar el ingreso de estudiantes a nuestra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tl w:val="0"/>
        </w:rPr>
      </w:r>
    </w:p>
    <w:p w:rsidR="00000000" w:rsidDel="00000000" w:rsidP="00000000" w:rsidRDefault="00000000" w:rsidRPr="00000000">
      <w:pPr>
        <w:numPr>
          <w:ilvl w:val="0"/>
          <w:numId w:val="4"/>
        </w:numPr>
        <w:ind w:left="720" w:right="584" w:hanging="360"/>
        <w:jc w:val="both"/>
        <w:rPr>
          <w:rFonts w:ascii="Arial" w:cs="Arial" w:eastAsia="Arial" w:hAnsi="Arial"/>
          <w:i w:val="0"/>
          <w:sz w:val="24"/>
          <w:szCs w:val="24"/>
        </w:rPr>
      </w:pPr>
      <w:r w:rsidDel="00000000" w:rsidR="00000000" w:rsidRPr="00000000">
        <w:rPr>
          <w:i w:val="0"/>
          <w:sz w:val="24"/>
          <w:szCs w:val="24"/>
          <w:vertAlign w:val="baseline"/>
          <w:rtl w:val="0"/>
        </w:rPr>
        <w:t xml:space="preserve">Modificar el acuerdo tomado por el Consejo Institucional en la Sesión Extraordinaria No. 2583, Art. 3, inciso 6 del 27 de octubre del 2008, “Modificación del acuerdo sobre el Plan de Admisión Diferenciada para las Carreras Agroforestales, Iera  fase”, para que se lea de la siguiente manera:</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tl w:val="0"/>
        </w:rPr>
      </w:r>
    </w:p>
    <w:p w:rsidR="00000000" w:rsidDel="00000000" w:rsidP="00000000" w:rsidRDefault="00000000" w:rsidRPr="00000000">
      <w:pPr>
        <w:tabs>
          <w:tab w:val="left" w:pos="960"/>
        </w:tabs>
        <w:ind w:left="993" w:right="707" w:hanging="273"/>
        <w:contextualSpacing w:val="0"/>
        <w:jc w:val="both"/>
      </w:pPr>
      <w:r w:rsidDel="00000000" w:rsidR="00000000" w:rsidRPr="00000000">
        <w:rPr>
          <w:b w:val="1"/>
          <w:i w:val="1"/>
          <w:sz w:val="24"/>
          <w:szCs w:val="24"/>
          <w:vertAlign w:val="baseline"/>
          <w:rtl w:val="0"/>
        </w:rPr>
        <w:t xml:space="preserve">“6. </w:t>
      </w:r>
      <w:r w:rsidDel="00000000" w:rsidR="00000000" w:rsidRPr="00000000">
        <w:rPr>
          <w:i w:val="0"/>
          <w:sz w:val="24"/>
          <w:szCs w:val="24"/>
          <w:vertAlign w:val="baseline"/>
          <w:rtl w:val="0"/>
        </w:rPr>
        <w:t xml:space="preserve">Para la matrícula extraordinaria de estudiantes nuevos, las Carreras    </w:t>
      </w:r>
      <w:r w:rsidDel="00000000" w:rsidR="00000000" w:rsidRPr="00000000">
        <w:rPr>
          <w:rtl w:val="0"/>
        </w:rPr>
      </w:r>
    </w:p>
    <w:p w:rsidR="00000000" w:rsidDel="00000000" w:rsidP="00000000" w:rsidRDefault="00000000" w:rsidRPr="00000000">
      <w:pPr>
        <w:tabs>
          <w:tab w:val="left" w:pos="960"/>
        </w:tabs>
        <w:ind w:left="993" w:right="707" w:hanging="273"/>
        <w:contextualSpacing w:val="0"/>
        <w:jc w:val="both"/>
      </w:pPr>
      <w:r w:rsidDel="00000000" w:rsidR="00000000" w:rsidRPr="00000000">
        <w:rPr>
          <w:b w:val="1"/>
          <w:i w:val="1"/>
          <w:sz w:val="24"/>
          <w:szCs w:val="24"/>
          <w:vertAlign w:val="baseline"/>
          <w:rtl w:val="0"/>
        </w:rPr>
        <w:t xml:space="preserve">     </w:t>
      </w:r>
      <w:r w:rsidDel="00000000" w:rsidR="00000000" w:rsidRPr="00000000">
        <w:rPr>
          <w:i w:val="0"/>
          <w:sz w:val="24"/>
          <w:szCs w:val="24"/>
          <w:vertAlign w:val="baseline"/>
          <w:rtl w:val="0"/>
        </w:rPr>
        <w:t xml:space="preserve">Agroforestales podrán admitir estudiantes que estén  como elegibles  </w:t>
      </w:r>
      <w:r w:rsidDel="00000000" w:rsidR="00000000" w:rsidRPr="00000000">
        <w:rPr>
          <w:rtl w:val="0"/>
        </w:rPr>
      </w:r>
    </w:p>
    <w:p w:rsidR="00000000" w:rsidDel="00000000" w:rsidP="00000000" w:rsidRDefault="00000000" w:rsidRPr="00000000">
      <w:pPr>
        <w:tabs>
          <w:tab w:val="left" w:pos="960"/>
        </w:tabs>
        <w:ind w:left="993" w:right="707" w:hanging="273"/>
        <w:contextualSpacing w:val="0"/>
        <w:jc w:val="both"/>
      </w:pPr>
      <w:r w:rsidDel="00000000" w:rsidR="00000000" w:rsidRPr="00000000">
        <w:rPr>
          <w:i w:val="0"/>
          <w:sz w:val="24"/>
          <w:szCs w:val="24"/>
          <w:vertAlign w:val="baseline"/>
          <w:rtl w:val="0"/>
        </w:rPr>
        <w:t xml:space="preserve">     en su carrera.  Si  aún quedan cupos disponibles  se  podrán  admitir </w:t>
      </w:r>
      <w:r w:rsidDel="00000000" w:rsidR="00000000" w:rsidRPr="00000000">
        <w:rPr>
          <w:rtl w:val="0"/>
        </w:rPr>
      </w:r>
    </w:p>
    <w:p w:rsidR="00000000" w:rsidDel="00000000" w:rsidP="00000000" w:rsidRDefault="00000000" w:rsidRPr="00000000">
      <w:pPr>
        <w:tabs>
          <w:tab w:val="left" w:pos="960"/>
        </w:tabs>
        <w:ind w:left="993" w:right="707" w:hanging="273"/>
        <w:contextualSpacing w:val="0"/>
        <w:jc w:val="both"/>
      </w:pPr>
      <w:r w:rsidDel="00000000" w:rsidR="00000000" w:rsidRPr="00000000">
        <w:rPr>
          <w:i w:val="0"/>
          <w:sz w:val="24"/>
          <w:szCs w:val="24"/>
          <w:vertAlign w:val="baseline"/>
          <w:rtl w:val="0"/>
        </w:rPr>
        <w:t xml:space="preserve">     estudiantes elegibles de  otras  carreras del ITCR previo autorización     </w:t>
      </w:r>
      <w:r w:rsidDel="00000000" w:rsidR="00000000" w:rsidRPr="00000000">
        <w:rPr>
          <w:rtl w:val="0"/>
        </w:rPr>
      </w:r>
    </w:p>
    <w:p w:rsidR="00000000" w:rsidDel="00000000" w:rsidP="00000000" w:rsidRDefault="00000000" w:rsidRPr="00000000">
      <w:pPr>
        <w:tabs>
          <w:tab w:val="left" w:pos="960"/>
        </w:tabs>
        <w:ind w:left="993" w:right="707" w:hanging="273"/>
        <w:contextualSpacing w:val="0"/>
        <w:jc w:val="both"/>
      </w:pPr>
      <w:r w:rsidDel="00000000" w:rsidR="00000000" w:rsidRPr="00000000">
        <w:rPr>
          <w:i w:val="0"/>
          <w:sz w:val="24"/>
          <w:szCs w:val="24"/>
          <w:vertAlign w:val="baseline"/>
          <w:rtl w:val="0"/>
        </w:rPr>
        <w:t xml:space="preserve">     del Director de la Escuela Agroforestal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right="584" w:hanging="360"/>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