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SCI-024-2011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747.0" w:type="dxa"/>
        <w:jc w:val="left"/>
        <w:tblLayout w:type="fixed"/>
        <w:tblLook w:val="0000"/>
      </w:tblPr>
      <w:tblGrid>
        <w:gridCol w:w="1123"/>
        <w:gridCol w:w="8624"/>
        <w:tblGridChange w:id="0">
          <w:tblGrid>
            <w:gridCol w:w="1123"/>
            <w:gridCol w:w="8624"/>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100" w:right="51" w:firstLine="0"/>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tbl>
            <w:tblPr>
              <w:tblStyle w:val="Table1"/>
              <w:bidi w:val="0"/>
              <w:tblW w:w="8408.0" w:type="dxa"/>
              <w:jc w:val="left"/>
              <w:tblLayout w:type="fixed"/>
              <w:tblLook w:val="0000"/>
            </w:tblPr>
            <w:tblGrid>
              <w:gridCol w:w="8408"/>
              <w:tblGridChange w:id="0">
                <w:tblGrid>
                  <w:gridCol w:w="8408"/>
                </w:tblGrid>
              </w:tblGridChange>
            </w:tblGrid>
            <w:tr>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Sc. Giannina Ortiz Q. Vicerrectora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José Martínez V, Director Escuela de Administración de Empresas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Máster Freddy Ramírez, Director Escuela de Computación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Jorge Chaves, Coordinador de la Comisión de Asuntos Académicos</w:t>
                  </w:r>
                  <w:r w:rsidDel="00000000" w:rsidR="00000000" w:rsidRPr="00000000">
                    <w:rPr>
                      <w:rtl w:val="0"/>
                    </w:rPr>
                  </w:r>
                </w:p>
              </w:tc>
            </w:tr>
          </w:tbl>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Presidente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27 de enero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2696 Artículo 9, del 27 de enero del 2011. Ampliación del acuerdo de la Sesión No. 2682, Artículo 10, del 30 de setiembre del 2010: “Creación del Área de Administración de Tecnologías de Información” y derogatoria del acuerdo de la Sesión Ordinaria No. 2595, Artículo 15, del 12 de febrero del 2009: “Creación de la Unidad de la Licenciatura en Administración de Tecnologías de Información, adscrita a la Escuela de Computación</w:t>
            </w: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1410" w:hanging="1410"/>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2595, Artículo 15, del 12 de febrero del 2009, acordó lo siguiente: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134" w:right="142" w:hanging="425"/>
        <w:contextualSpacing w:val="0"/>
      </w:pPr>
      <w:r w:rsidDel="00000000" w:rsidR="00000000" w:rsidRPr="00000000">
        <w:rPr>
          <w:rFonts w:ascii="Arial" w:cs="Arial" w:eastAsia="Arial" w:hAnsi="Arial"/>
          <w:i w:val="1"/>
          <w:vertAlign w:val="baseline"/>
          <w:rtl w:val="0"/>
        </w:rPr>
        <w:t xml:space="preserve">“a. Crear la Unidad de la Licenciatura en Administración de Tecnologías de Información, adscrita a la Escuela de Ingeniería en Computación, Categoría 3, con fundamento en el Artículo 18, inciso e del Estatuto Orgánico y el Artículo 10 del Reglamento de Creación, Modificación o Eliminación de Unidades.</w:t>
      </w:r>
      <w:r w:rsidDel="00000000" w:rsidR="00000000" w:rsidRPr="00000000">
        <w:rPr>
          <w:rtl w:val="0"/>
        </w:rPr>
      </w:r>
    </w:p>
    <w:p w:rsidR="00000000" w:rsidDel="00000000" w:rsidP="00000000" w:rsidRDefault="00000000" w:rsidRPr="00000000">
      <w:pPr>
        <w:ind w:left="709" w:right="142" w:firstLine="0"/>
        <w:contextualSpacing w:val="0"/>
      </w:pPr>
      <w:r w:rsidDel="00000000" w:rsidR="00000000" w:rsidRPr="00000000">
        <w:rPr>
          <w:rtl w:val="0"/>
        </w:rPr>
      </w:r>
    </w:p>
    <w:p w:rsidR="00000000" w:rsidDel="00000000" w:rsidP="00000000" w:rsidRDefault="00000000" w:rsidRPr="00000000">
      <w:pPr>
        <w:numPr>
          <w:ilvl w:val="0"/>
          <w:numId w:val="6"/>
        </w:numPr>
        <w:ind w:left="1069" w:right="142"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Solicitar a la Administración la asignación de los recursos indicados en el Plan Aprobado para la creación de la Carrera Licenciatura en Administración de Tecnologías de Información y de acuerdo con</w:t>
      </w:r>
      <w:r w:rsidDel="00000000" w:rsidR="00000000" w:rsidRPr="00000000">
        <w:rPr>
          <w:rFonts w:ascii="Arial" w:cs="Arial" w:eastAsia="Arial" w:hAnsi="Arial"/>
          <w:i w:val="1"/>
          <w:color w:val="ff0000"/>
          <w:vertAlign w:val="baseline"/>
          <w:rtl w:val="0"/>
        </w:rPr>
        <w:t xml:space="preserve"> </w:t>
      </w:r>
      <w:r w:rsidDel="00000000" w:rsidR="00000000" w:rsidRPr="00000000">
        <w:rPr>
          <w:rFonts w:ascii="Arial" w:cs="Arial" w:eastAsia="Arial" w:hAnsi="Arial"/>
          <w:i w:val="1"/>
          <w:vertAlign w:val="baseline"/>
          <w:rtl w:val="0"/>
        </w:rPr>
        <w:t xml:space="preserve">sus necesidades actuales.</w:t>
      </w:r>
      <w:r w:rsidDel="00000000" w:rsidR="00000000" w:rsidRPr="00000000">
        <w:rPr>
          <w:rtl w:val="0"/>
        </w:rPr>
      </w:r>
    </w:p>
    <w:p w:rsidR="00000000" w:rsidDel="00000000" w:rsidP="00000000" w:rsidRDefault="00000000" w:rsidRPr="00000000">
      <w:pPr>
        <w:ind w:left="1069" w:right="706" w:firstLine="0"/>
        <w:contextualSpacing w:val="0"/>
      </w:pPr>
      <w:r w:rsidDel="00000000" w:rsidR="00000000" w:rsidRPr="00000000">
        <w:rPr>
          <w:rtl w:val="0"/>
        </w:rPr>
      </w:r>
    </w:p>
    <w:p w:rsidR="00000000" w:rsidDel="00000000" w:rsidP="00000000" w:rsidRDefault="00000000" w:rsidRPr="00000000">
      <w:pPr>
        <w:numPr>
          <w:ilvl w:val="0"/>
          <w:numId w:val="6"/>
        </w:numPr>
        <w:ind w:left="1069" w:right="706"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Comunicar.  </w:t>
      </w:r>
      <w:r w:rsidDel="00000000" w:rsidR="00000000" w:rsidRPr="00000000">
        <w:rPr>
          <w:rFonts w:ascii="Arial" w:cs="Arial" w:eastAsia="Arial" w:hAnsi="Arial"/>
          <w:b w:val="1"/>
          <w:i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ViDa-1136-2010, con fecha 17 de setiembre de 2010, suscrito por el Ing. Andrés Robles Ramírez, Presidente a.i. Consejo Vicerrectoría de Docencia, dirigido al M.Sc. Eugenio Trejos B., Presidente Consejo Institucional, en la cual remite el acuerdo del Consejo de Docencia de la Sesión No. 15-2010, del 8 de setiembre 2010, artículo 5. inciso d y que dice:</w:t>
      </w:r>
      <w:r w:rsidDel="00000000" w:rsidR="00000000" w:rsidRPr="00000000">
        <w:rPr>
          <w:rtl w:val="0"/>
        </w:rPr>
      </w:r>
    </w:p>
    <w:p w:rsidR="00000000" w:rsidDel="00000000" w:rsidP="00000000" w:rsidRDefault="00000000" w:rsidRPr="00000000">
      <w:pPr>
        <w:spacing w:before="120" w:lineRule="auto"/>
        <w:ind w:left="993" w:right="709" w:hanging="283.9999999999999"/>
        <w:contextualSpacing w:val="0"/>
      </w:pPr>
      <w:r w:rsidDel="00000000" w:rsidR="00000000" w:rsidRPr="00000000">
        <w:rPr>
          <w:rFonts w:ascii="Arial" w:cs="Arial" w:eastAsia="Arial" w:hAnsi="Arial"/>
          <w:b w:val="1"/>
          <w:i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tabs>
          <w:tab w:val="left" w:pos="993"/>
        </w:tabs>
        <w:spacing w:before="120" w:lineRule="auto"/>
        <w:ind w:left="993" w:right="709" w:hanging="283.9999999999999"/>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La Carrera Licenciatura en Administración de Tecnologías de Información está adscrita a la Escuela de Ingeniería en Computación en conjunto con la Escuela de Administración de Empresas.</w:t>
      </w:r>
      <w:r w:rsidDel="00000000" w:rsidR="00000000" w:rsidRPr="00000000">
        <w:rPr>
          <w:rtl w:val="0"/>
        </w:rPr>
      </w:r>
    </w:p>
    <w:p w:rsidR="00000000" w:rsidDel="00000000" w:rsidP="00000000" w:rsidRDefault="00000000" w:rsidRPr="00000000">
      <w:pPr>
        <w:numPr>
          <w:ilvl w:val="0"/>
          <w:numId w:val="2"/>
        </w:numPr>
        <w:tabs>
          <w:tab w:val="left" w:pos="993"/>
        </w:tabs>
        <w:spacing w:before="120" w:lineRule="auto"/>
        <w:ind w:left="993" w:right="709" w:hanging="283.9999999999999"/>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La primera generación ingresó en el año 2008 y se está impartiendo cursos del primer, segundo, tercer, cuarto y sexto semestre, que refleja una carga académica de seis tiempos completos y tiene proyectado un crecimiento de dos tiempos completos por año por los siguientes dos años.</w:t>
      </w:r>
      <w:r w:rsidDel="00000000" w:rsidR="00000000" w:rsidRPr="00000000">
        <w:rPr>
          <w:rtl w:val="0"/>
        </w:rPr>
      </w:r>
    </w:p>
    <w:p w:rsidR="00000000" w:rsidDel="00000000" w:rsidP="00000000" w:rsidRDefault="00000000" w:rsidRPr="00000000">
      <w:pPr>
        <w:numPr>
          <w:ilvl w:val="0"/>
          <w:numId w:val="2"/>
        </w:numPr>
        <w:tabs>
          <w:tab w:val="left" w:pos="993"/>
        </w:tabs>
        <w:spacing w:before="120" w:lineRule="auto"/>
        <w:ind w:left="993" w:right="709" w:hanging="283.9999999999999"/>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Actualmente el Plan 2050 tiene 119 estudiantes activos y se proyecta la primera graduación para el mes de febrero del año 2013.</w:t>
      </w:r>
      <w:r w:rsidDel="00000000" w:rsidR="00000000" w:rsidRPr="00000000">
        <w:rPr>
          <w:rtl w:val="0"/>
        </w:rPr>
      </w:r>
    </w:p>
    <w:p w:rsidR="00000000" w:rsidDel="00000000" w:rsidP="00000000" w:rsidRDefault="00000000" w:rsidRPr="00000000">
      <w:pPr>
        <w:numPr>
          <w:ilvl w:val="0"/>
          <w:numId w:val="2"/>
        </w:numPr>
        <w:tabs>
          <w:tab w:val="left" w:pos="993"/>
        </w:tabs>
        <w:spacing w:before="120" w:lineRule="auto"/>
        <w:ind w:left="993" w:right="709" w:hanging="283.9999999999999"/>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Ya se dio la primera elección formal del Coordinador del Programa  a través del TIE, en la queda electa la MAE. Yarima Sandoval S.,  por el periodo febrero del 2010 a febrero del 2014.</w:t>
      </w:r>
      <w:r w:rsidDel="00000000" w:rsidR="00000000" w:rsidRPr="00000000">
        <w:rPr>
          <w:rtl w:val="0"/>
        </w:rPr>
      </w:r>
    </w:p>
    <w:p w:rsidR="00000000" w:rsidDel="00000000" w:rsidP="00000000" w:rsidRDefault="00000000" w:rsidRPr="00000000">
      <w:pPr>
        <w:numPr>
          <w:ilvl w:val="0"/>
          <w:numId w:val="2"/>
        </w:numPr>
        <w:tabs>
          <w:tab w:val="left" w:pos="993"/>
        </w:tabs>
        <w:spacing w:before="120" w:lineRule="auto"/>
        <w:ind w:left="993" w:right="709" w:hanging="283.9999999999999"/>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Actualmente las decisiones Académicas del Programa están centralizadas en el Consejo de la Escuela de Ingeniería en Computación, lo cual dificulta análisis y toma de decisiones que requieren propiamente la Licenciatura en Administración de Tecnologías de Información para sus respectivos cursos de Computación y Administración.</w:t>
      </w:r>
      <w:r w:rsidDel="00000000" w:rsidR="00000000" w:rsidRPr="00000000">
        <w:rPr>
          <w:rtl w:val="0"/>
        </w:rPr>
      </w:r>
    </w:p>
    <w:p w:rsidR="00000000" w:rsidDel="00000000" w:rsidP="00000000" w:rsidRDefault="00000000" w:rsidRPr="00000000">
      <w:pPr>
        <w:numPr>
          <w:ilvl w:val="0"/>
          <w:numId w:val="2"/>
        </w:numPr>
        <w:tabs>
          <w:tab w:val="left" w:pos="993"/>
        </w:tabs>
        <w:spacing w:before="120" w:lineRule="auto"/>
        <w:ind w:left="993" w:right="709" w:hanging="283.9999999999999"/>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Incluir los acuerdos de las diferentes escuelas.</w:t>
      </w:r>
      <w:r w:rsidDel="00000000" w:rsidR="00000000" w:rsidRPr="00000000">
        <w:rPr>
          <w:rtl w:val="0"/>
        </w:rPr>
      </w:r>
    </w:p>
    <w:p w:rsidR="00000000" w:rsidDel="00000000" w:rsidP="00000000" w:rsidRDefault="00000000" w:rsidRPr="00000000">
      <w:pPr>
        <w:spacing w:before="120" w:lineRule="auto"/>
        <w:ind w:left="993" w:right="709" w:hanging="283.9999999999999"/>
        <w:contextualSpacing w:val="0"/>
      </w:pPr>
      <w:r w:rsidDel="00000000" w:rsidR="00000000" w:rsidRPr="00000000">
        <w:rPr>
          <w:rFonts w:ascii="Arial" w:cs="Arial" w:eastAsia="Arial" w:hAnsi="Arial"/>
          <w:b w:val="1"/>
          <w:i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4"/>
        </w:numPr>
        <w:tabs>
          <w:tab w:val="left" w:pos="993"/>
        </w:tabs>
        <w:spacing w:before="120" w:lineRule="auto"/>
        <w:ind w:left="993" w:right="709" w:hanging="283.9999999999999"/>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Dar el aval para la </w:t>
      </w:r>
      <w:r w:rsidDel="00000000" w:rsidR="00000000" w:rsidRPr="00000000">
        <w:rPr>
          <w:rFonts w:ascii="Arial" w:cs="Arial" w:eastAsia="Arial" w:hAnsi="Arial"/>
          <w:b w:val="1"/>
          <w:i w:val="1"/>
          <w:vertAlign w:val="baseline"/>
          <w:rtl w:val="0"/>
        </w:rPr>
        <w:t xml:space="preserve"> Creación del Área de Administración de Tecnologías de Información.</w:t>
      </w:r>
      <w:r w:rsidDel="00000000" w:rsidR="00000000" w:rsidRPr="00000000">
        <w:rPr>
          <w:rtl w:val="0"/>
        </w:rPr>
      </w:r>
    </w:p>
    <w:p w:rsidR="00000000" w:rsidDel="00000000" w:rsidP="00000000" w:rsidRDefault="00000000" w:rsidRPr="00000000">
      <w:pPr>
        <w:numPr>
          <w:ilvl w:val="0"/>
          <w:numId w:val="4"/>
        </w:numPr>
        <w:tabs>
          <w:tab w:val="left" w:pos="993"/>
        </w:tabs>
        <w:spacing w:before="120" w:lineRule="auto"/>
        <w:ind w:left="993" w:right="709" w:hanging="283.9999999999999"/>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Solicitar a la Vicerrectora de Docencia que remita dicha solicitud al Consejo Institucional.</w:t>
      </w:r>
      <w:r w:rsidDel="00000000" w:rsidR="00000000" w:rsidRPr="00000000">
        <w:rPr>
          <w:rtl w:val="0"/>
        </w:rPr>
      </w:r>
    </w:p>
    <w:p w:rsidR="00000000" w:rsidDel="00000000" w:rsidP="00000000" w:rsidRDefault="00000000" w:rsidRPr="00000000">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120" w:line="240" w:lineRule="auto"/>
        <w:ind w:left="993" w:right="709" w:hanging="283.9999999999999"/>
        <w:contextualSpacing w:val="0"/>
        <w:jc w:val="both"/>
      </w:pPr>
      <w:r w:rsidDel="00000000" w:rsidR="00000000" w:rsidRPr="00000000">
        <w:rPr>
          <w:rFonts w:ascii="Arial" w:cs="Arial" w:eastAsia="Arial" w:hAnsi="Arial"/>
          <w:b w:val="1"/>
          <w:i w:val="1"/>
          <w:color w:val="000000"/>
          <w:sz w:val="24"/>
          <w:szCs w:val="24"/>
          <w:vertAlign w:val="baseline"/>
          <w:rtl w:val="0"/>
        </w:rPr>
        <w:t xml:space="preserve">Acuerdo firme.”</w:t>
      </w:r>
      <w:r w:rsidDel="00000000" w:rsidR="00000000" w:rsidRPr="00000000">
        <w:rPr>
          <w:rtl w:val="0"/>
        </w:rPr>
      </w:r>
    </w:p>
    <w:p w:rsidR="00000000" w:rsidDel="00000000" w:rsidP="00000000" w:rsidRDefault="00000000" w:rsidRPr="00000000">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2682, Artículo 10, del 30 de setiembre del 2010, acordó lo siguiente: </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ind w:left="1134" w:right="426" w:hanging="425"/>
        <w:contextualSpacing w:val="0"/>
        <w:jc w:val="both"/>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i w:val="1"/>
          <w:vertAlign w:val="baseline"/>
          <w:rtl w:val="0"/>
        </w:rPr>
        <w:t xml:space="preserve">Crear el Área de Administración de Tecnologías de Información, adscrita a la Vicerrectoría de Docencia,  con el fin de que atienda el programa académico de Licenciatura en Administración de Tecnologías de Información en la que participan las Escuelas:  Ingeniería en Computación en conjunto con la Escuela de Administración de Empresas.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i w:val="1"/>
          <w:sz w:val="24"/>
          <w:szCs w:val="24"/>
          <w:vertAlign w:val="baseline"/>
          <w:rtl w:val="0"/>
        </w:rPr>
        <w:tab/>
      </w:r>
      <w:r w:rsidDel="00000000" w:rsidR="00000000" w:rsidRPr="00000000">
        <w:rPr>
          <w:rtl w:val="0"/>
        </w:rPr>
      </w:r>
    </w:p>
    <w:p w:rsidR="00000000" w:rsidDel="00000000" w:rsidP="00000000" w:rsidRDefault="00000000" w:rsidRPr="00000000">
      <w:pPr>
        <w:numPr>
          <w:ilvl w:val="0"/>
          <w:numId w:val="5"/>
        </w:numPr>
        <w:ind w:left="108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Comunicar. </w:t>
      </w:r>
      <w:r w:rsidDel="00000000" w:rsidR="00000000" w:rsidRPr="00000000">
        <w:rPr>
          <w:rFonts w:ascii="Arial" w:cs="Arial" w:eastAsia="Arial" w:hAnsi="Arial"/>
          <w:b w:val="1"/>
          <w:i w:val="1"/>
          <w:vertAlign w:val="baseline"/>
          <w:rtl w:val="0"/>
        </w:rPr>
        <w:t xml:space="preserve">ACUERDO FIRME.”</w:t>
      </w: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TIE-459-10, con fecha 20 de octubre del 2010, suscrito por la Ing. Gabriela Ortiz, Presidenta del TIE, dirigido a la MSc. Eugenio Trejos, Presidente del Consejo Institucional, en el cual comunica que el Tribunal Institucional Electoral revisó el acuerdo del Consejo Institucional de la Sesión No. 2682, Artículo 10, del 30 de setiembre del 2010, referente a la creación del Área de Administración de Tecnologías de Información, y tienen algunas dudas.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celebrada el 1º de noviembre del 2010, según consta en la Minuta Nº 290-2010, invitó al MBA. José Martínez, Director de la Escuela de Administración de Empresas y al Ing. Freddy Ramírez, Director de la Escuela de Ingeniería de Computación, para el análisis del asunto y dispuso hacer la consulta a la Asesoría Legal.</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oficio SCI-1003-2010, de fecha 14 de diciembre del 2010, el MSc. Jorge Chaves A., Coordinador de la Comisión de Asuntos Académicos y Estudiantiles, solicitó criterio legal a la Licda. Maureen Reid, Asesora Legal del Consejo Institucional.</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Licda. Maureen Reid, Asesora Legal del Consejo Institucional, en memorando SCI-003-2011, del 19 de enero de 2011, emite criterio sobre la consulta realizada por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celebrada el 24 de enero del 2011, según consta en la Minuta Nº 297-2011, analizó la respuesta de la Licda. Maureen Reid, Asesora Legal del Consejo Institucional y realizó consulta verbal al Lic. Carlos Segnini, Director de la Oficina de Asesoría Legal, quien dictaminó que lo procedente es ampliar el acuerdo de la Sesión No. 2682, Artículo 10, del 30 de setiembre del 2010 y derogar el acuerdo anterior de la Sesión Ordinaria No. 2595, Artículo 15, del 12 de febrero del 2009.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Ampliar el acuerdo de la Sesión Ordinaria No. 2682, Artículo 10 del 30 de setiembre del 2010.  “Creación del Área de Administración de Tecnologías de Información” para incluir como inciso b. el siguiente: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vertAlign w:val="baseline"/>
          <w:rtl w:val="0"/>
        </w:rPr>
        <w:t xml:space="preserve">“b.</w:t>
        <w:tab/>
        <w:t xml:space="preserve">Derogar el acuerdo de la Sesión Ordinaria No. 2595, Artículo 15, del 12 de febrero del 2009. Creación de la Unidad de la Licenciatura en Administración de Tecnologías de Información, adscrita a la Escuela de Computación”.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Solicitar al Rector proceder con la gestión administrativa necesaria para hacer efectivo este acuerdo.</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ETB/yz</w:t>
      </w: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Sede Regional San Carlos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851" w:top="2268" w:left="1134" w:right="16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3"/>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408" w:hanging="768"/>
      </w:pPr>
      <w:rPr>
        <w:vertAlign w:val="baseline"/>
      </w:rPr>
    </w:lvl>
    <w:lvl w:ilvl="2">
      <w:start w:val="1"/>
      <w:numFmt w:val="lowerRoman"/>
      <w:lvlText w:val="%3."/>
      <w:lvlJc w:val="right"/>
      <w:pPr>
        <w:ind w:left="312" w:firstLine="132"/>
      </w:pPr>
      <w:rPr>
        <w:vertAlign w:val="baseline"/>
      </w:rPr>
    </w:lvl>
    <w:lvl w:ilvl="3">
      <w:start w:val="2"/>
      <w:numFmt w:val="lowerLetter"/>
      <w:lvlText w:val="%4."/>
      <w:lvlJc w:val="left"/>
      <w:pPr>
        <w:ind w:left="1032" w:firstLine="672"/>
      </w:pPr>
      <w:rPr>
        <w:b w:val="1"/>
        <w:i w:val="0"/>
        <w:vertAlign w:val="baseline"/>
      </w:rPr>
    </w:lvl>
    <w:lvl w:ilvl="4">
      <w:start w:val="1"/>
      <w:numFmt w:val="lowerLetter"/>
      <w:lvlText w:val="%5."/>
      <w:lvlJc w:val="left"/>
      <w:pPr>
        <w:ind w:left="1752" w:firstLine="1392"/>
      </w:pPr>
      <w:rPr>
        <w:vertAlign w:val="baseline"/>
      </w:rPr>
    </w:lvl>
    <w:lvl w:ilvl="5">
      <w:start w:val="1"/>
      <w:numFmt w:val="lowerRoman"/>
      <w:lvlText w:val="%6."/>
      <w:lvlJc w:val="right"/>
      <w:pPr>
        <w:ind w:left="2472" w:firstLine="2292"/>
      </w:pPr>
      <w:rPr>
        <w:vertAlign w:val="baseline"/>
      </w:rPr>
    </w:lvl>
    <w:lvl w:ilvl="6">
      <w:start w:val="1"/>
      <w:numFmt w:val="decimal"/>
      <w:lvlText w:val="%7."/>
      <w:lvlJc w:val="left"/>
      <w:pPr>
        <w:ind w:left="3192" w:firstLine="2832"/>
      </w:pPr>
      <w:rPr>
        <w:vertAlign w:val="baseline"/>
      </w:rPr>
    </w:lvl>
    <w:lvl w:ilvl="7">
      <w:start w:val="1"/>
      <w:numFmt w:val="lowerLetter"/>
      <w:lvlText w:val="%8."/>
      <w:lvlJc w:val="left"/>
      <w:pPr>
        <w:ind w:left="3912" w:firstLine="3552"/>
      </w:pPr>
      <w:rPr>
        <w:vertAlign w:val="baseline"/>
      </w:rPr>
    </w:lvl>
    <w:lvl w:ilvl="8">
      <w:start w:val="1"/>
      <w:numFmt w:val="lowerRoman"/>
      <w:lvlText w:val="%9."/>
      <w:lvlJc w:val="right"/>
      <w:pPr>
        <w:ind w:left="4632" w:firstLine="4452"/>
      </w:pPr>
      <w:rPr>
        <w:vertAlign w:val="baseline"/>
      </w:rPr>
    </w:lvl>
  </w:abstractNum>
  <w:abstractNum w:abstractNumId="4">
    <w:lvl w:ilvl="0">
      <w:start w:val="1"/>
      <w:numFmt w:val="lowerLetter"/>
      <w:lvlText w:val="%1."/>
      <w:lvlJc w:val="left"/>
      <w:pPr>
        <w:ind w:left="1353" w:firstLine="993.0000000000001"/>
      </w:pPr>
      <w:rPr>
        <w:vertAlign w:val="baseline"/>
      </w:rPr>
    </w:lvl>
    <w:lvl w:ilvl="1">
      <w:start w:val="1"/>
      <w:numFmt w:val="lowerLetter"/>
      <w:lvlText w:val="%2."/>
      <w:lvlJc w:val="left"/>
      <w:pPr>
        <w:ind w:left="2073" w:firstLine="1713"/>
      </w:pPr>
      <w:rPr>
        <w:vertAlign w:val="baseline"/>
      </w:rPr>
    </w:lvl>
    <w:lvl w:ilvl="2">
      <w:start w:val="1"/>
      <w:numFmt w:val="lowerRoman"/>
      <w:lvlText w:val="%3."/>
      <w:lvlJc w:val="right"/>
      <w:pPr>
        <w:ind w:left="2793" w:firstLine="2613"/>
      </w:pPr>
      <w:rPr>
        <w:vertAlign w:val="baseline"/>
      </w:rPr>
    </w:lvl>
    <w:lvl w:ilvl="3">
      <w:start w:val="1"/>
      <w:numFmt w:val="decimal"/>
      <w:lvlText w:val="%4."/>
      <w:lvlJc w:val="left"/>
      <w:pPr>
        <w:ind w:left="3513" w:firstLine="3153"/>
      </w:pPr>
      <w:rPr>
        <w:vertAlign w:val="baseline"/>
      </w:rPr>
    </w:lvl>
    <w:lvl w:ilvl="4">
      <w:start w:val="1"/>
      <w:numFmt w:val="lowerLetter"/>
      <w:lvlText w:val="%5."/>
      <w:lvlJc w:val="left"/>
      <w:pPr>
        <w:ind w:left="4233" w:firstLine="3873"/>
      </w:pPr>
      <w:rPr>
        <w:vertAlign w:val="baseline"/>
      </w:rPr>
    </w:lvl>
    <w:lvl w:ilvl="5">
      <w:start w:val="1"/>
      <w:numFmt w:val="lowerRoman"/>
      <w:lvlText w:val="%6."/>
      <w:lvlJc w:val="right"/>
      <w:pPr>
        <w:ind w:left="4953" w:firstLine="4773"/>
      </w:pPr>
      <w:rPr>
        <w:vertAlign w:val="baseline"/>
      </w:rPr>
    </w:lvl>
    <w:lvl w:ilvl="6">
      <w:start w:val="1"/>
      <w:numFmt w:val="decimal"/>
      <w:lvlText w:val="%7."/>
      <w:lvlJc w:val="left"/>
      <w:pPr>
        <w:ind w:left="5673" w:firstLine="5313"/>
      </w:pPr>
      <w:rPr>
        <w:vertAlign w:val="baseline"/>
      </w:rPr>
    </w:lvl>
    <w:lvl w:ilvl="7">
      <w:start w:val="1"/>
      <w:numFmt w:val="lowerLetter"/>
      <w:lvlText w:val="%8."/>
      <w:lvlJc w:val="left"/>
      <w:pPr>
        <w:ind w:left="6393" w:firstLine="6033"/>
      </w:pPr>
      <w:rPr>
        <w:vertAlign w:val="baseline"/>
      </w:rPr>
    </w:lvl>
    <w:lvl w:ilvl="8">
      <w:start w:val="1"/>
      <w:numFmt w:val="lowerRoman"/>
      <w:lvlText w:val="%9."/>
      <w:lvlJc w:val="right"/>
      <w:pPr>
        <w:ind w:left="7113" w:firstLine="6933"/>
      </w:pPr>
      <w:rPr>
        <w:vertAlign w:val="baseline"/>
      </w:rPr>
    </w:lvl>
  </w:abstractNum>
  <w:abstractNum w:abstractNumId="5">
    <w:lvl w:ilvl="0">
      <w:start w:val="2"/>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lvl w:ilvl="0">
      <w:start w:val="2"/>
      <w:numFmt w:val="lowerLetter"/>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