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SCI-050-2011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276"/>
        <w:gridCol w:w="8505"/>
        <w:tblGridChange w:id="0">
          <w:tblGrid>
            <w:gridCol w:w="1276"/>
            <w:gridCol w:w="8505"/>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Ligia Rivas Rossi R., Vicerrectora de la VIESA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BQ. Grettel Castro P., Integrante del Consejo Institucional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Claudia Zúñiga Vega, Integrante del Consejo Institucional</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03 de febrero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176" w:firstLine="0"/>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Sesión Ordinaria No. 2697 Artículo 10, del 03 de febrero del 2011. Designación de un/as integrantes del Consejo Institucional para que forme parte en la mesa principal de los Actos de Graduación Ordinarios No. 210, correspondiente al II Semestre 2010</w:t>
            </w:r>
            <w:r w:rsidDel="00000000" w:rsidR="00000000" w:rsidRPr="00000000">
              <w:rPr>
                <w:rtl w:val="0"/>
              </w:rPr>
            </w:r>
          </w:p>
          <w:p w:rsidR="00000000" w:rsidDel="00000000" w:rsidP="00000000" w:rsidRDefault="00000000" w:rsidRPr="00000000">
            <w:pPr>
              <w:ind w:left="176" w:firstLine="0"/>
              <w:contextualSpacing w:val="0"/>
              <w:jc w:val="both"/>
            </w:pP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tabs>
          <w:tab w:val="left" w:pos="672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el oficio VIESA-012-2011, con fecha 25 de enero de 2011, suscrito por la Licda. Ligia Rivas Rossi R., Vicerrectora de la VIESA, dirigido al M.Sc. Eugenio Trejos B., Presidente del Consejo Institucional, en la cual informa que el martes 22 de febrero se estará llevando a cabo el Acto de Graduación Ordinario No. 210, correspondiente al II Semestre 2010, en el Teatro Popular Melico Salazar. Informa que se estarán realizando dos actos dado el número de graduandos, uno programado para las 2:00 pm. y otro para las 6:00 p.m. Por tal motivo solicitan al Consejo Institucional nombrar los representantes para la mesa principal.</w:t>
      </w:r>
      <w:r w:rsidDel="00000000" w:rsidR="00000000" w:rsidRPr="00000000">
        <w:rPr>
          <w:rtl w:val="0"/>
        </w:rPr>
      </w:r>
    </w:p>
    <w:p w:rsidR="00000000" w:rsidDel="00000000" w:rsidP="00000000" w:rsidRDefault="00000000" w:rsidRPr="00000000">
      <w:pPr>
        <w:spacing w:after="0" w:before="240" w:line="240" w:lineRule="auto"/>
        <w:contextualSpacing w:val="0"/>
      </w:pPr>
      <w:r w:rsidDel="00000000" w:rsidR="00000000" w:rsidRPr="00000000">
        <w:rPr>
          <w:rFonts w:ascii="Arial" w:cs="Arial" w:eastAsia="Arial" w:hAnsi="Arial"/>
          <w:b w:val="1"/>
          <w:i w:val="0"/>
          <w:color w:val="000000"/>
          <w:sz w:val="24"/>
          <w:szCs w:val="24"/>
          <w:vertAlign w:val="baseline"/>
          <w:rtl w:val="0"/>
        </w:rPr>
        <w:t xml:space="preserve">SE ACUERDA: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720" w:hanging="720"/>
        <w:jc w:val="both"/>
        <w:rPr>
          <w:rFonts w:ascii="Arial" w:cs="Arial" w:eastAsia="Arial" w:hAnsi="Arial"/>
          <w:sz w:val="22"/>
          <w:szCs w:val="22"/>
        </w:rPr>
      </w:pPr>
      <w:r w:rsidDel="00000000" w:rsidR="00000000" w:rsidRPr="00000000">
        <w:rPr>
          <w:rFonts w:ascii="Arial" w:cs="Arial" w:eastAsia="Arial" w:hAnsi="Arial"/>
          <w:b w:val="0"/>
          <w:i w:val="0"/>
          <w:sz w:val="22"/>
          <w:szCs w:val="22"/>
          <w:vertAlign w:val="baseline"/>
          <w:rtl w:val="0"/>
        </w:rPr>
        <w:t xml:space="preserve">Designar a la BQ. Grettel Castro Portuguez y a la MSc. Claudia Zúñiga Vega, respectivamente, como representantes del Consejo Institucional, para que participen en la mesa principal del Acto de Graduación No. 210, correspondiente al II Semestre de 2010, por celebrarse el próximo 22 de febrero del 2011 en el Teatro Popular Melico Salazar, uno a las 2:00 p.m. y otro a las 6:00 p.m.</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720" w:hanging="720"/>
        <w:jc w:val="both"/>
        <w:rPr>
          <w:rFonts w:ascii="Arial" w:cs="Arial" w:eastAsia="Arial" w:hAnsi="Arial"/>
          <w:sz w:val="22"/>
          <w:szCs w:val="22"/>
        </w:rPr>
      </w:pPr>
      <w:r w:rsidDel="00000000" w:rsidR="00000000" w:rsidRPr="00000000">
        <w:rPr>
          <w:rFonts w:ascii="Arial" w:cs="Arial" w:eastAsia="Arial" w:hAnsi="Arial"/>
          <w:b w:val="0"/>
          <w:i w:val="0"/>
          <w:sz w:val="22"/>
          <w:szCs w:val="22"/>
          <w:vertAlign w:val="baseline"/>
          <w:rtl w:val="0"/>
        </w:rPr>
        <w:t xml:space="preserve">Comunicar. </w:t>
      </w:r>
      <w:r w:rsidDel="00000000" w:rsidR="00000000" w:rsidRPr="00000000">
        <w:rPr>
          <w:rFonts w:ascii="Arial" w:cs="Arial" w:eastAsia="Arial" w:hAnsi="Arial"/>
          <w:b w:val="1"/>
          <w:i w:val="0"/>
          <w:sz w:val="22"/>
          <w:szCs w:val="22"/>
          <w:vertAlign w:val="baseline"/>
          <w:rtl w:val="0"/>
        </w:rPr>
        <w:t xml:space="preserve">ACUERDO FIRME</w:t>
      </w:r>
      <w:r w:rsidDel="00000000" w:rsidR="00000000" w:rsidRPr="00000000">
        <w:rPr>
          <w:rFonts w:ascii="Arial" w:cs="Arial" w:eastAsia="Arial" w:hAnsi="Arial"/>
          <w:b w:val="0"/>
          <w:i w:val="0"/>
          <w:sz w:val="22"/>
          <w:szCs w:val="22"/>
          <w:vertAlign w:val="baselin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right="567"/>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    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FEITEC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