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SCI-213-2011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MSc. Eugenio Trejos B., Rector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Máster Jorge Mena, Vicerrector de Administración</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Máster Marcel Hernández, Director de la Oficina de Planificación</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Máster Carla Garita, Coordinadora de la Comisión de 40 Aniversario TEC</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b w:val="1"/>
                <w:sz w:val="22"/>
                <w:szCs w:val="22"/>
                <w:vertAlign w:val="baseline"/>
                <w:rtl w:val="0"/>
              </w:rPr>
              <w:t xml:space="preserve">24 de marzo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2"/>
                <w:szCs w:val="22"/>
                <w:vertAlign w:val="baseline"/>
                <w:rtl w:val="0"/>
              </w:rPr>
              <w:t xml:space="preserve">Sesión Ordinaria No. 2705, Artículo 7, del  24 de marzo del 2011.  “Declaratoria de interés institucional las actividades enmarcadas dentro de la conmemoración del 40 Aniversario del Instituto Tecnológico de Costa Rica, por celebrarse el 10 de junio del 2011”</w:t>
            </w: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ind w:left="1134" w:hanging="1134"/>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color w:val="000000"/>
          <w:vertAlign w:val="baseline"/>
          <w:rtl w:val="0"/>
        </w:rPr>
        <w:t xml:space="preserve">RESULTANDO QUE:</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1134"/>
        </w:tabs>
        <w:spacing w:after="0" w:before="0" w:line="240" w:lineRule="auto"/>
        <w:ind w:left="480" w:hanging="480"/>
        <w:jc w:val="both"/>
        <w:rPr>
          <w:color w:val="000000"/>
        </w:rPr>
      </w:pPr>
      <w:r w:rsidDel="00000000" w:rsidR="00000000" w:rsidRPr="00000000">
        <w:rPr>
          <w:rFonts w:ascii="Arial" w:cs="Arial" w:eastAsia="Arial" w:hAnsi="Arial"/>
          <w:b w:val="0"/>
          <w:i w:val="0"/>
          <w:color w:val="000000"/>
          <w:sz w:val="24"/>
          <w:szCs w:val="24"/>
          <w:vertAlign w:val="baseline"/>
          <w:rtl w:val="0"/>
        </w:rPr>
        <w:t xml:space="preserve">El Instituto Tecnológico de Costa Rica fue creado mediante Ley No. 4777, del 10 de junio de 1972, como una Institución de Educación Superior, cuyo objetivo principal es el de consolidar en el país la educación técnica superior y solucionar los problemas nacionales en esa materia, bajo el gobierno del presidente de la República, José Figueres Ferrer, fungiendo como Ministro de Educación el señor Uladislao Gámez Solano.</w:t>
      </w:r>
    </w:p>
    <w:p w:rsidR="00000000" w:rsidDel="00000000" w:rsidP="00000000" w:rsidRDefault="00000000" w:rsidRPr="00000000">
      <w:pPr>
        <w:tabs>
          <w:tab w:val="left" w:pos="1134"/>
        </w:tabs>
        <w:spacing w:after="120" w:before="0" w:line="240" w:lineRule="auto"/>
        <w:ind w:left="48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color w:val="000000"/>
        </w:rPr>
      </w:pPr>
      <w:r w:rsidDel="00000000" w:rsidR="00000000" w:rsidRPr="00000000">
        <w:rPr>
          <w:rFonts w:ascii="Arial" w:cs="Arial" w:eastAsia="Arial" w:hAnsi="Arial"/>
          <w:b w:val="0"/>
          <w:color w:val="000000"/>
          <w:sz w:val="24"/>
          <w:szCs w:val="24"/>
          <w:vertAlign w:val="baseline"/>
          <w:rtl w:val="0"/>
        </w:rPr>
        <w:t xml:space="preserve">La Ley de creación del Instituto Tecnológico de Costa Rica, fue reformada mediante la Ley No. 6321 de 27 de abril de 1979, cuyo artículo 3 reza:</w:t>
      </w:r>
    </w:p>
    <w:p w:rsidR="00000000" w:rsidDel="00000000" w:rsidP="00000000" w:rsidRDefault="00000000" w:rsidRPr="00000000">
      <w:pPr>
        <w:tabs>
          <w:tab w:val="left" w:pos="1134"/>
        </w:tabs>
        <w:spacing w:after="0" w:before="0" w:line="240" w:lineRule="auto"/>
        <w:ind w:left="480" w:firstLine="0"/>
        <w:contextualSpacing w:val="0"/>
        <w:jc w:val="both"/>
      </w:pPr>
      <w:r w:rsidDel="00000000" w:rsidR="00000000" w:rsidRPr="00000000">
        <w:rPr>
          <w:rtl w:val="0"/>
        </w:rPr>
      </w:r>
    </w:p>
    <w:p w:rsidR="00000000" w:rsidDel="00000000" w:rsidP="00000000" w:rsidRDefault="00000000" w:rsidRPr="00000000">
      <w:pPr>
        <w:spacing w:after="120" w:before="0" w:line="240" w:lineRule="auto"/>
        <w:ind w:left="851" w:right="423" w:firstLine="0"/>
        <w:contextualSpacing w:val="0"/>
        <w:jc w:val="both"/>
      </w:pPr>
      <w:r w:rsidDel="00000000" w:rsidR="00000000" w:rsidRPr="00000000">
        <w:rPr>
          <w:rFonts w:ascii="Arial" w:cs="Arial" w:eastAsia="Arial" w:hAnsi="Arial"/>
          <w:b w:val="0"/>
          <w:i w:val="1"/>
          <w:color w:val="000000"/>
          <w:sz w:val="22"/>
          <w:szCs w:val="22"/>
          <w:vertAlign w:val="baseline"/>
          <w:rtl w:val="0"/>
        </w:rPr>
        <w:t xml:space="preserve">“El Instituto está dedicado al campo de la tecnología y ciencias conexas y tiene como propósito lograr, mediante la enseñanza, la investigación y el servicio a la sociedad, la excelencia en la formación integral de profesionales y la incorporación sistemática y continua, de la tecnología que requiere el desarrollo de Costa Rica dentro de su propio campo de acción.”</w:t>
      </w:r>
    </w:p>
    <w:p w:rsidR="00000000" w:rsidDel="00000000" w:rsidP="00000000" w:rsidRDefault="00000000" w:rsidRPr="00000000">
      <w:pPr>
        <w:numPr>
          <w:ilvl w:val="0"/>
          <w:numId w:val="1"/>
        </w:numPr>
        <w:spacing w:after="0" w:before="240" w:line="240" w:lineRule="auto"/>
        <w:ind w:left="357" w:hanging="357"/>
        <w:jc w:val="both"/>
        <w:rPr>
          <w:color w:val="000000"/>
        </w:rPr>
      </w:pPr>
      <w:r w:rsidDel="00000000" w:rsidR="00000000" w:rsidRPr="00000000">
        <w:rPr>
          <w:rFonts w:ascii="Arial" w:cs="Arial" w:eastAsia="Arial" w:hAnsi="Arial"/>
          <w:b w:val="0"/>
          <w:color w:val="000000"/>
          <w:sz w:val="24"/>
          <w:szCs w:val="24"/>
          <w:vertAlign w:val="baseline"/>
          <w:rtl w:val="0"/>
        </w:rPr>
        <w:t xml:space="preserve">La primera sesión del Consejo Director de ese entonces, se realizó el martes 14 de setiembre de 1971, en el Salón de Sesiones del Consejo Municipal de Cartago, a las 3:45 de la tarde, Sesión No. 1-1971.</w:t>
      </w:r>
    </w:p>
    <w:p w:rsidR="00000000" w:rsidDel="00000000" w:rsidP="00000000" w:rsidRDefault="00000000" w:rsidRPr="00000000">
      <w:pPr>
        <w:numPr>
          <w:ilvl w:val="0"/>
          <w:numId w:val="1"/>
        </w:numPr>
        <w:spacing w:after="0" w:before="0" w:line="240" w:lineRule="auto"/>
        <w:ind w:left="360" w:hanging="360"/>
        <w:jc w:val="both"/>
        <w:rPr>
          <w:color w:val="000000"/>
        </w:rPr>
      </w:pPr>
      <w:r w:rsidDel="00000000" w:rsidR="00000000" w:rsidRPr="00000000">
        <w:rPr>
          <w:rFonts w:ascii="Arial" w:cs="Arial" w:eastAsia="Arial" w:hAnsi="Arial"/>
          <w:b w:val="0"/>
          <w:color w:val="000000"/>
          <w:sz w:val="24"/>
          <w:szCs w:val="24"/>
          <w:vertAlign w:val="baseline"/>
          <w:rtl w:val="0"/>
        </w:rPr>
        <w:t xml:space="preserve">En la Sesión No. 37, Art. 15, de 28 de junio de 1972, se nombra al Ing. Vidal Quirós Berrocal, como Rector del Instituto Tecnológico de Costa Rica, quien ocupó ese cargo a partir del 1 de agosto de 1972.</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vertAlign w:val="baseline"/>
          <w:rtl w:val="0"/>
        </w:rPr>
        <w:t xml:space="preserve">La celebración del 40 Aniversario del Instituto Tecnológico de Costa Rica,  se constituye en  una celebración  trascendental  para el TEC,  un evento muy sentido y significativo para la comunidad institucional, en virtud del aporte positivo que le ha brindado al desarrollo humano, científico,  tecnológico y ambiental de Costa Rica.</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vertAlign w:val="baseline"/>
          <w:rtl w:val="0"/>
        </w:rPr>
        <w:t xml:space="preserve">El fin de esta celebración es proyectar todo el aporte de la Institución nacional e internacionalmente en el marco de la celebración de su 40 Aniversario y fortalecer la identidad institucional y el sentido de pertenencia del TEC.</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vertAlign w:val="baseline"/>
          <w:rtl w:val="0"/>
        </w:rPr>
        <w:t xml:space="preserve">Las actividades académicas, culturales, deportivas, por celebrarse durante el año 2011, van orientadas a contribuir con la integración de todos los  sectores institucionales que son la base de la Institución, por lo que, éstas  deben enmarcarse dentro de esta importante celebración.</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vertAlign w:val="baseline"/>
          <w:rtl w:val="0"/>
        </w:rPr>
        <w:t xml:space="preserve">En el año 2010 la Comisión de Aniversario, conformada desde la Rectoría, por la Sra. Sonia Córdoba Moya, Representante de la Rectoría, Sra. Bertalía Sánchez Salas, representante del Consejo Institucional, la Sra. Karla Garita Granados y el señor Johnny Gómez, Representantes de la Oficina de Comunicación y Mercadeo; que durante los últimos años han apoyado esta magna celebración, inició sus labores y consideró necesario integrar a  todos los sectores de la comunidad institucional, razón por la que solicita a  la Rectoría, Vicerrectorías, Sede Regional San Carlos, Centro Académico de San José y a la FEITEC, entre otras, designar a los representantes. </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vertAlign w:val="baseline"/>
          <w:rtl w:val="0"/>
        </w:rPr>
        <w:t xml:space="preserve">En octubre del 2010, las instancias designan a sus representantes y fue así como se conforma la Comisión Ampliada con las siguientes personas: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MBA. Karla Garita Granados, Coordinadora</w:t>
      </w:r>
    </w:p>
    <w:p w:rsidR="00000000" w:rsidDel="00000000" w:rsidP="00000000" w:rsidRDefault="00000000" w:rsidRPr="00000000">
      <w:pPr>
        <w:numPr>
          <w:ilvl w:val="0"/>
          <w:numId w:val="3"/>
        </w:numPr>
        <w:spacing w:after="0" w:before="0" w:line="276" w:lineRule="auto"/>
        <w:ind w:left="720" w:hanging="360"/>
        <w:contextualSpacing w:val="1"/>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MBA Johnny Gómez, Oficina de Comunicación y Mercadeo</w:t>
      </w:r>
    </w:p>
    <w:p w:rsidR="00000000" w:rsidDel="00000000" w:rsidP="00000000" w:rsidRDefault="00000000" w:rsidRPr="00000000">
      <w:pPr>
        <w:numPr>
          <w:ilvl w:val="0"/>
          <w:numId w:val="3"/>
        </w:numPr>
        <w:spacing w:after="0" w:before="0" w:line="276" w:lineRule="auto"/>
        <w:ind w:left="720" w:hanging="360"/>
        <w:contextualSpacing w:val="1"/>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Ing. Giannina Ortiz, Vicerrectora de Docencia</w:t>
      </w:r>
    </w:p>
    <w:p w:rsidR="00000000" w:rsidDel="00000000" w:rsidP="00000000" w:rsidRDefault="00000000" w:rsidRPr="00000000">
      <w:pPr>
        <w:numPr>
          <w:ilvl w:val="0"/>
          <w:numId w:val="3"/>
        </w:numPr>
        <w:spacing w:after="0" w:before="0" w:line="276" w:lineRule="auto"/>
        <w:ind w:left="720" w:hanging="360"/>
        <w:contextualSpacing w:val="1"/>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MSc. Rosaura Brenes Solano, Consejo Docencia</w:t>
      </w:r>
    </w:p>
    <w:p w:rsidR="00000000" w:rsidDel="00000000" w:rsidP="00000000" w:rsidRDefault="00000000" w:rsidRPr="00000000">
      <w:pPr>
        <w:numPr>
          <w:ilvl w:val="0"/>
          <w:numId w:val="3"/>
        </w:numPr>
        <w:spacing w:after="0" w:before="0" w:line="276" w:lineRule="auto"/>
        <w:ind w:left="720" w:hanging="360"/>
        <w:contextualSpacing w:val="1"/>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Dra. Floria Roa, Consejo Docencia</w:t>
      </w:r>
    </w:p>
    <w:p w:rsidR="00000000" w:rsidDel="00000000" w:rsidP="00000000" w:rsidRDefault="00000000" w:rsidRPr="00000000">
      <w:pPr>
        <w:numPr>
          <w:ilvl w:val="0"/>
          <w:numId w:val="3"/>
        </w:numPr>
        <w:spacing w:after="0" w:before="0" w:line="276" w:lineRule="auto"/>
        <w:ind w:left="720" w:hanging="360"/>
        <w:contextualSpacing w:val="1"/>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Lic. Carlos Bonilla, Rectoría</w:t>
      </w:r>
    </w:p>
    <w:p w:rsidR="00000000" w:rsidDel="00000000" w:rsidP="00000000" w:rsidRDefault="00000000" w:rsidRPr="00000000">
      <w:pPr>
        <w:numPr>
          <w:ilvl w:val="0"/>
          <w:numId w:val="3"/>
        </w:numPr>
        <w:spacing w:after="0" w:before="0" w:line="276" w:lineRule="auto"/>
        <w:ind w:left="720" w:hanging="360"/>
        <w:contextualSpacing w:val="1"/>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Señora Sonia Córdoba, Rectoría</w:t>
      </w:r>
    </w:p>
    <w:p w:rsidR="00000000" w:rsidDel="00000000" w:rsidP="00000000" w:rsidRDefault="00000000" w:rsidRPr="00000000">
      <w:pPr>
        <w:numPr>
          <w:ilvl w:val="0"/>
          <w:numId w:val="3"/>
        </w:numPr>
        <w:spacing w:after="0" w:before="0" w:line="276" w:lineRule="auto"/>
        <w:ind w:left="720" w:hanging="360"/>
        <w:contextualSpacing w:val="1"/>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Licda. Bertalía Sánchez, Consejo Institucional</w:t>
      </w:r>
    </w:p>
    <w:p w:rsidR="00000000" w:rsidDel="00000000" w:rsidP="00000000" w:rsidRDefault="00000000" w:rsidRPr="00000000">
      <w:pPr>
        <w:numPr>
          <w:ilvl w:val="0"/>
          <w:numId w:val="3"/>
        </w:numPr>
        <w:spacing w:after="0" w:before="0" w:line="276" w:lineRule="auto"/>
        <w:ind w:left="720" w:hanging="360"/>
        <w:contextualSpacing w:val="1"/>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MSc. Juan Carlos Carvajal, Vicerrectoría de Investigación y Extensión</w:t>
      </w:r>
    </w:p>
    <w:p w:rsidR="00000000" w:rsidDel="00000000" w:rsidP="00000000" w:rsidRDefault="00000000" w:rsidRPr="00000000">
      <w:pPr>
        <w:numPr>
          <w:ilvl w:val="0"/>
          <w:numId w:val="3"/>
        </w:numPr>
        <w:spacing w:after="0" w:before="0" w:line="276" w:lineRule="auto"/>
        <w:ind w:left="720" w:hanging="360"/>
        <w:contextualSpacing w:val="1"/>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Lic. Fernando Ramírez, Vicerrectoría de Investigación y Extensión</w:t>
      </w:r>
    </w:p>
    <w:p w:rsidR="00000000" w:rsidDel="00000000" w:rsidP="00000000" w:rsidRDefault="00000000" w:rsidRPr="00000000">
      <w:pPr>
        <w:numPr>
          <w:ilvl w:val="0"/>
          <w:numId w:val="3"/>
        </w:numPr>
        <w:spacing w:after="0" w:before="0" w:line="276" w:lineRule="auto"/>
        <w:ind w:left="720" w:hanging="360"/>
        <w:contextualSpacing w:val="1"/>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MSc.  Rosaura Méndez, Vicerrectoría de Vida Estudiantil y Servicios Académicos</w:t>
      </w:r>
    </w:p>
    <w:p w:rsidR="00000000" w:rsidDel="00000000" w:rsidP="00000000" w:rsidRDefault="00000000" w:rsidRPr="00000000">
      <w:pPr>
        <w:numPr>
          <w:ilvl w:val="0"/>
          <w:numId w:val="3"/>
        </w:numPr>
        <w:spacing w:after="0" w:before="0" w:line="276" w:lineRule="auto"/>
        <w:ind w:left="720" w:hanging="360"/>
        <w:contextualSpacing w:val="1"/>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MSc. Desireé Mora, Vicerrectoría de Vida Estudiantil y Servicios Académicos</w:t>
      </w:r>
    </w:p>
    <w:p w:rsidR="00000000" w:rsidDel="00000000" w:rsidP="00000000" w:rsidRDefault="00000000" w:rsidRPr="00000000">
      <w:pPr>
        <w:numPr>
          <w:ilvl w:val="0"/>
          <w:numId w:val="3"/>
        </w:numPr>
        <w:spacing w:after="0" w:before="0" w:line="276" w:lineRule="auto"/>
        <w:ind w:left="720" w:hanging="360"/>
        <w:contextualSpacing w:val="1"/>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MSc. Marvin Santos, Vicerrectoría de Vida Estudiantil y Servicios Académicos</w:t>
      </w:r>
    </w:p>
    <w:p w:rsidR="00000000" w:rsidDel="00000000" w:rsidP="00000000" w:rsidRDefault="00000000" w:rsidRPr="00000000">
      <w:pPr>
        <w:numPr>
          <w:ilvl w:val="0"/>
          <w:numId w:val="3"/>
        </w:numPr>
        <w:spacing w:after="0" w:before="0" w:line="276" w:lineRule="auto"/>
        <w:ind w:left="720" w:hanging="360"/>
        <w:contextualSpacing w:val="1"/>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MSc.  Laura Pizarro, Vicerrectoría de Vida Estudiantil y Servicios Académicos</w:t>
      </w:r>
    </w:p>
    <w:p w:rsidR="00000000" w:rsidDel="00000000" w:rsidP="00000000" w:rsidRDefault="00000000" w:rsidRPr="00000000">
      <w:pPr>
        <w:numPr>
          <w:ilvl w:val="0"/>
          <w:numId w:val="3"/>
        </w:numPr>
        <w:spacing w:after="0" w:before="0" w:line="276" w:lineRule="auto"/>
        <w:ind w:left="720" w:hanging="360"/>
        <w:contextualSpacing w:val="1"/>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MBA Rafael Hidalgo, Centro Académico de San José</w:t>
      </w:r>
    </w:p>
    <w:p w:rsidR="00000000" w:rsidDel="00000000" w:rsidP="00000000" w:rsidRDefault="00000000" w:rsidRPr="00000000">
      <w:pPr>
        <w:numPr>
          <w:ilvl w:val="0"/>
          <w:numId w:val="3"/>
        </w:numPr>
        <w:spacing w:after="0" w:before="0" w:line="276" w:lineRule="auto"/>
        <w:ind w:left="720" w:hanging="360"/>
        <w:contextualSpacing w:val="1"/>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Alexandra de Simone, Centro Académico de San José</w:t>
      </w:r>
    </w:p>
    <w:p w:rsidR="00000000" w:rsidDel="00000000" w:rsidP="00000000" w:rsidRDefault="00000000" w:rsidRPr="00000000">
      <w:pPr>
        <w:numPr>
          <w:ilvl w:val="0"/>
          <w:numId w:val="3"/>
        </w:numPr>
        <w:spacing w:after="0" w:before="0" w:line="276" w:lineRule="auto"/>
        <w:ind w:left="720" w:hanging="360"/>
        <w:contextualSpacing w:val="1"/>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Ing. Lucía Rodríguez, Sede Regional San Carlos</w:t>
      </w:r>
    </w:p>
    <w:p w:rsidR="00000000" w:rsidDel="00000000" w:rsidP="00000000" w:rsidRDefault="00000000" w:rsidRPr="00000000">
      <w:pPr>
        <w:numPr>
          <w:ilvl w:val="0"/>
          <w:numId w:val="3"/>
        </w:numPr>
        <w:spacing w:after="0" w:before="0" w:line="276" w:lineRule="auto"/>
        <w:ind w:left="720" w:hanging="360"/>
        <w:contextualSpacing w:val="1"/>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MBA Marcel Hernández, Oficina de Planificación</w:t>
      </w:r>
    </w:p>
    <w:p w:rsidR="00000000" w:rsidDel="00000000" w:rsidP="00000000" w:rsidRDefault="00000000" w:rsidRPr="00000000">
      <w:pPr>
        <w:numPr>
          <w:ilvl w:val="0"/>
          <w:numId w:val="3"/>
        </w:numPr>
        <w:spacing w:after="0" w:before="0" w:line="276" w:lineRule="auto"/>
        <w:ind w:left="720" w:hanging="360"/>
        <w:contextualSpacing w:val="1"/>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Bach. Vicky Villalta, Vicerrectoría de Administración</w:t>
      </w:r>
    </w:p>
    <w:p w:rsidR="00000000" w:rsidDel="00000000" w:rsidP="00000000" w:rsidRDefault="00000000" w:rsidRPr="00000000">
      <w:pPr>
        <w:numPr>
          <w:ilvl w:val="0"/>
          <w:numId w:val="3"/>
        </w:numPr>
        <w:spacing w:after="0" w:before="0" w:line="276" w:lineRule="auto"/>
        <w:ind w:left="720" w:hanging="360"/>
        <w:contextualSpacing w:val="1"/>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Lic. José Valdez Gallo, Representante de ASETEC</w:t>
      </w:r>
    </w:p>
    <w:p w:rsidR="00000000" w:rsidDel="00000000" w:rsidP="00000000" w:rsidRDefault="00000000" w:rsidRPr="00000000">
      <w:pPr>
        <w:numPr>
          <w:ilvl w:val="0"/>
          <w:numId w:val="3"/>
        </w:numPr>
        <w:spacing w:after="0" w:before="0" w:line="276" w:lineRule="auto"/>
        <w:ind w:left="720" w:hanging="360"/>
        <w:contextualSpacing w:val="1"/>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Mariela Hernández, Casa de la Cuidad</w:t>
      </w:r>
    </w:p>
    <w:p w:rsidR="00000000" w:rsidDel="00000000" w:rsidP="00000000" w:rsidRDefault="00000000" w:rsidRPr="00000000">
      <w:pPr>
        <w:numPr>
          <w:ilvl w:val="0"/>
          <w:numId w:val="3"/>
        </w:numPr>
        <w:spacing w:after="0" w:before="0" w:line="276" w:lineRule="auto"/>
        <w:ind w:left="720" w:hanging="360"/>
        <w:contextualSpacing w:val="1"/>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Esteban Chacón, Representante Estudiantil</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vertAlign w:val="baseline"/>
          <w:rtl w:val="0"/>
        </w:rPr>
        <w:t xml:space="preserve">Esta Comisión ha venido trabajando activamente y con vista en la cantidad de actividades que se llevarán a cabo en el marco del 40 Aniversario, y para un mejor orden, conformó a su vez sub comisiones según áreas de trabajo a desarrollar; estas son:</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numPr>
          <w:ilvl w:val="1"/>
          <w:numId w:val="1"/>
        </w:numPr>
        <w:tabs>
          <w:tab w:val="left" w:pos="993"/>
        </w:tabs>
        <w:spacing w:after="0" w:before="0" w:line="240" w:lineRule="auto"/>
        <w:ind w:left="993" w:hanging="567"/>
        <w:jc w:val="both"/>
        <w:rPr>
          <w:color w:val="000000"/>
        </w:rPr>
      </w:pPr>
      <w:r w:rsidDel="00000000" w:rsidR="00000000" w:rsidRPr="00000000">
        <w:rPr>
          <w:rFonts w:ascii="Arial" w:cs="Arial" w:eastAsia="Arial" w:hAnsi="Arial"/>
          <w:b w:val="0"/>
          <w:color w:val="000000"/>
          <w:sz w:val="24"/>
          <w:szCs w:val="24"/>
          <w:vertAlign w:val="baseline"/>
          <w:rtl w:val="0"/>
        </w:rPr>
        <w:t xml:space="preserve">Comisión de Actividades Académicas</w:t>
      </w:r>
    </w:p>
    <w:p w:rsidR="00000000" w:rsidDel="00000000" w:rsidP="00000000" w:rsidRDefault="00000000" w:rsidRPr="00000000">
      <w:pPr>
        <w:numPr>
          <w:ilvl w:val="1"/>
          <w:numId w:val="1"/>
        </w:numPr>
        <w:tabs>
          <w:tab w:val="left" w:pos="993"/>
        </w:tabs>
        <w:spacing w:after="0" w:before="0" w:line="240" w:lineRule="auto"/>
        <w:ind w:left="993" w:hanging="567"/>
        <w:jc w:val="both"/>
        <w:rPr>
          <w:color w:val="000000"/>
        </w:rPr>
      </w:pPr>
      <w:r w:rsidDel="00000000" w:rsidR="00000000" w:rsidRPr="00000000">
        <w:rPr>
          <w:rFonts w:ascii="Arial" w:cs="Arial" w:eastAsia="Arial" w:hAnsi="Arial"/>
          <w:b w:val="0"/>
          <w:color w:val="000000"/>
          <w:sz w:val="24"/>
          <w:szCs w:val="24"/>
          <w:vertAlign w:val="baseline"/>
          <w:rtl w:val="0"/>
        </w:rPr>
        <w:t xml:space="preserve">Comisión de Protocolo</w:t>
      </w:r>
    </w:p>
    <w:p w:rsidR="00000000" w:rsidDel="00000000" w:rsidP="00000000" w:rsidRDefault="00000000" w:rsidRPr="00000000">
      <w:pPr>
        <w:numPr>
          <w:ilvl w:val="1"/>
          <w:numId w:val="1"/>
        </w:numPr>
        <w:tabs>
          <w:tab w:val="left" w:pos="993"/>
        </w:tabs>
        <w:spacing w:after="0" w:before="0" w:line="240" w:lineRule="auto"/>
        <w:ind w:left="993" w:hanging="567"/>
        <w:jc w:val="both"/>
        <w:rPr>
          <w:color w:val="000000"/>
        </w:rPr>
      </w:pPr>
      <w:r w:rsidDel="00000000" w:rsidR="00000000" w:rsidRPr="00000000">
        <w:rPr>
          <w:rFonts w:ascii="Arial" w:cs="Arial" w:eastAsia="Arial" w:hAnsi="Arial"/>
          <w:b w:val="0"/>
          <w:color w:val="000000"/>
          <w:sz w:val="24"/>
          <w:szCs w:val="24"/>
          <w:vertAlign w:val="baseline"/>
          <w:rtl w:val="0"/>
        </w:rPr>
        <w:t xml:space="preserve">Comisión de Actividades Culturales y Deportivas</w:t>
      </w:r>
    </w:p>
    <w:p w:rsidR="00000000" w:rsidDel="00000000" w:rsidP="00000000" w:rsidRDefault="00000000" w:rsidRPr="00000000">
      <w:pPr>
        <w:numPr>
          <w:ilvl w:val="1"/>
          <w:numId w:val="1"/>
        </w:numPr>
        <w:tabs>
          <w:tab w:val="left" w:pos="993"/>
        </w:tabs>
        <w:spacing w:after="0" w:before="0" w:line="240" w:lineRule="auto"/>
        <w:ind w:left="993" w:hanging="567"/>
        <w:jc w:val="both"/>
        <w:rPr>
          <w:color w:val="000000"/>
        </w:rPr>
      </w:pPr>
      <w:r w:rsidDel="00000000" w:rsidR="00000000" w:rsidRPr="00000000">
        <w:rPr>
          <w:rFonts w:ascii="Arial" w:cs="Arial" w:eastAsia="Arial" w:hAnsi="Arial"/>
          <w:b w:val="0"/>
          <w:color w:val="000000"/>
          <w:sz w:val="24"/>
          <w:szCs w:val="24"/>
          <w:vertAlign w:val="baseline"/>
          <w:rtl w:val="0"/>
        </w:rPr>
        <w:t xml:space="preserve">Comisión de Comunicación</w:t>
      </w:r>
    </w:p>
    <w:p w:rsidR="00000000" w:rsidDel="00000000" w:rsidP="00000000" w:rsidRDefault="00000000" w:rsidRPr="00000000">
      <w:pPr>
        <w:numPr>
          <w:ilvl w:val="1"/>
          <w:numId w:val="1"/>
        </w:numPr>
        <w:tabs>
          <w:tab w:val="left" w:pos="993"/>
        </w:tabs>
        <w:spacing w:after="0" w:before="0" w:line="240" w:lineRule="auto"/>
        <w:ind w:left="993" w:hanging="567"/>
        <w:jc w:val="both"/>
        <w:rPr>
          <w:color w:val="000000"/>
        </w:rPr>
      </w:pPr>
      <w:r w:rsidDel="00000000" w:rsidR="00000000" w:rsidRPr="00000000">
        <w:rPr>
          <w:rFonts w:ascii="Arial" w:cs="Arial" w:eastAsia="Arial" w:hAnsi="Arial"/>
          <w:b w:val="0"/>
          <w:color w:val="000000"/>
          <w:sz w:val="24"/>
          <w:szCs w:val="24"/>
          <w:vertAlign w:val="baseline"/>
          <w:rtl w:val="0"/>
        </w:rPr>
        <w:t xml:space="preserve">Comisión de Actividades Sociales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vertAlign w:val="baseline"/>
          <w:rtl w:val="0"/>
        </w:rPr>
        <w:t xml:space="preserve">La Comisión del 40 Aniversario Tec ha gestionado múltiples solicitudes, tanto al Gobierno de la República como internamente en la Institución, entre las cuales se citan las siguientes:</w:t>
      </w:r>
    </w:p>
    <w:p w:rsidR="00000000" w:rsidDel="00000000" w:rsidP="00000000" w:rsidRDefault="00000000" w:rsidRPr="00000000">
      <w:pPr>
        <w:numPr>
          <w:ilvl w:val="1"/>
          <w:numId w:val="1"/>
        </w:numPr>
        <w:tabs>
          <w:tab w:val="left" w:pos="851"/>
        </w:tabs>
        <w:spacing w:after="0" w:before="120" w:line="240" w:lineRule="auto"/>
        <w:ind w:left="850" w:hanging="652"/>
        <w:jc w:val="both"/>
        <w:rPr>
          <w:color w:val="000000"/>
        </w:rPr>
      </w:pPr>
      <w:r w:rsidDel="00000000" w:rsidR="00000000" w:rsidRPr="00000000">
        <w:rPr>
          <w:rFonts w:ascii="Arial" w:cs="Arial" w:eastAsia="Arial" w:hAnsi="Arial"/>
          <w:b w:val="0"/>
          <w:color w:val="000000"/>
          <w:sz w:val="24"/>
          <w:szCs w:val="24"/>
          <w:vertAlign w:val="baseline"/>
          <w:rtl w:val="0"/>
        </w:rPr>
        <w:t xml:space="preserve">Se solicitó a la Comisión de Imagen el diseño de un logo alusivo a la conmemoración de este evento.  Asimismo, se solicitó a la Unidad de Publicaciones un membrete para papelería alusivo al 40 aniversario, papel que se ha utilizado para la correspondencia externa remitida exclusivamente por la Rectoría y el Consejo Institucional, por implicaciones presupuestarias,</w:t>
      </w:r>
    </w:p>
    <w:p w:rsidR="00000000" w:rsidDel="00000000" w:rsidP="00000000" w:rsidRDefault="00000000" w:rsidRPr="00000000">
      <w:pPr>
        <w:numPr>
          <w:ilvl w:val="1"/>
          <w:numId w:val="1"/>
        </w:numPr>
        <w:tabs>
          <w:tab w:val="left" w:pos="851"/>
        </w:tabs>
        <w:spacing w:after="0" w:before="120" w:line="240" w:lineRule="auto"/>
        <w:ind w:left="850" w:hanging="652"/>
        <w:jc w:val="both"/>
        <w:rPr>
          <w:color w:val="000000"/>
        </w:rPr>
      </w:pPr>
      <w:r w:rsidDel="00000000" w:rsidR="00000000" w:rsidRPr="00000000">
        <w:rPr>
          <w:rFonts w:ascii="Arial" w:cs="Arial" w:eastAsia="Arial" w:hAnsi="Arial"/>
          <w:b w:val="0"/>
          <w:color w:val="000000"/>
          <w:sz w:val="24"/>
          <w:szCs w:val="24"/>
          <w:vertAlign w:val="baseline"/>
          <w:rtl w:val="0"/>
        </w:rPr>
        <w:t xml:space="preserve">Junta de Protección Social (emisión de un billete de lotería dedicado al  40 Aniversario TEC),</w:t>
      </w:r>
    </w:p>
    <w:p w:rsidR="00000000" w:rsidDel="00000000" w:rsidP="00000000" w:rsidRDefault="00000000" w:rsidRPr="00000000">
      <w:pPr>
        <w:numPr>
          <w:ilvl w:val="1"/>
          <w:numId w:val="1"/>
        </w:numPr>
        <w:tabs>
          <w:tab w:val="left" w:pos="851"/>
        </w:tabs>
        <w:spacing w:after="0" w:before="120" w:line="240" w:lineRule="auto"/>
        <w:ind w:left="850" w:hanging="652"/>
        <w:jc w:val="both"/>
        <w:rPr>
          <w:color w:val="000000"/>
        </w:rPr>
      </w:pPr>
      <w:r w:rsidDel="00000000" w:rsidR="00000000" w:rsidRPr="00000000">
        <w:rPr>
          <w:rFonts w:ascii="Arial" w:cs="Arial" w:eastAsia="Arial" w:hAnsi="Arial"/>
          <w:b w:val="0"/>
          <w:color w:val="000000"/>
          <w:sz w:val="24"/>
          <w:szCs w:val="24"/>
          <w:vertAlign w:val="baseline"/>
          <w:rtl w:val="0"/>
        </w:rPr>
        <w:t xml:space="preserve">Imprenta Nacional (publicación en el Diario oficial La Gaceta, en la contraportada de junio del 2011, dedicada al TEC),</w:t>
      </w:r>
    </w:p>
    <w:p w:rsidR="00000000" w:rsidDel="00000000" w:rsidP="00000000" w:rsidRDefault="00000000" w:rsidRPr="00000000">
      <w:pPr>
        <w:numPr>
          <w:ilvl w:val="1"/>
          <w:numId w:val="1"/>
        </w:numPr>
        <w:tabs>
          <w:tab w:val="left" w:pos="851"/>
        </w:tabs>
        <w:spacing w:after="0" w:before="120" w:line="240" w:lineRule="auto"/>
        <w:ind w:left="850" w:hanging="652"/>
        <w:jc w:val="both"/>
        <w:rPr>
          <w:color w:val="000000"/>
        </w:rPr>
      </w:pPr>
      <w:r w:rsidDel="00000000" w:rsidR="00000000" w:rsidRPr="00000000">
        <w:rPr>
          <w:rFonts w:ascii="Arial" w:cs="Arial" w:eastAsia="Arial" w:hAnsi="Arial"/>
          <w:b w:val="0"/>
          <w:color w:val="000000"/>
          <w:sz w:val="24"/>
          <w:szCs w:val="24"/>
          <w:vertAlign w:val="baseline"/>
          <w:rtl w:val="0"/>
        </w:rPr>
        <w:t xml:space="preserve">Municipalidad de Cartago (dedicar al TEC la semana cívica del 2011 con motivo del 40 Aniversario Tec),</w:t>
      </w:r>
    </w:p>
    <w:p w:rsidR="00000000" w:rsidDel="00000000" w:rsidP="00000000" w:rsidRDefault="00000000" w:rsidRPr="00000000">
      <w:pPr>
        <w:numPr>
          <w:ilvl w:val="1"/>
          <w:numId w:val="1"/>
        </w:numPr>
        <w:tabs>
          <w:tab w:val="left" w:pos="851"/>
        </w:tabs>
        <w:spacing w:after="0" w:before="120" w:line="240" w:lineRule="auto"/>
        <w:ind w:left="850" w:hanging="652"/>
        <w:jc w:val="both"/>
        <w:rPr>
          <w:color w:val="000000"/>
        </w:rPr>
      </w:pPr>
      <w:r w:rsidDel="00000000" w:rsidR="00000000" w:rsidRPr="00000000">
        <w:rPr>
          <w:rFonts w:ascii="Arial" w:cs="Arial" w:eastAsia="Arial" w:hAnsi="Arial"/>
          <w:b w:val="0"/>
          <w:color w:val="000000"/>
          <w:sz w:val="24"/>
          <w:szCs w:val="24"/>
          <w:vertAlign w:val="baseline"/>
          <w:rtl w:val="0"/>
        </w:rPr>
        <w:t xml:space="preserve">CANARA (Dedicar el programa PANORAMA  del 10 de junio al TEC y cuatro cápsulas informativas previo a la fecha del Aniversario),</w:t>
      </w:r>
    </w:p>
    <w:p w:rsidR="00000000" w:rsidDel="00000000" w:rsidP="00000000" w:rsidRDefault="00000000" w:rsidRPr="00000000">
      <w:pPr>
        <w:numPr>
          <w:ilvl w:val="1"/>
          <w:numId w:val="1"/>
        </w:numPr>
        <w:tabs>
          <w:tab w:val="left" w:pos="851"/>
        </w:tabs>
        <w:spacing w:after="0" w:before="120" w:line="240" w:lineRule="auto"/>
        <w:ind w:left="850" w:hanging="652"/>
        <w:jc w:val="both"/>
        <w:rPr>
          <w:color w:val="000000"/>
        </w:rPr>
      </w:pPr>
      <w:r w:rsidDel="00000000" w:rsidR="00000000" w:rsidRPr="00000000">
        <w:rPr>
          <w:rFonts w:ascii="Arial" w:cs="Arial" w:eastAsia="Arial" w:hAnsi="Arial"/>
          <w:b w:val="0"/>
          <w:color w:val="000000"/>
          <w:sz w:val="24"/>
          <w:szCs w:val="24"/>
          <w:vertAlign w:val="baseline"/>
          <w:rtl w:val="0"/>
        </w:rPr>
        <w:t xml:space="preserve">SINART (transmisión en vivo del Acto formal por realizarse en el Teatro Nacional),</w:t>
      </w:r>
    </w:p>
    <w:p w:rsidR="00000000" w:rsidDel="00000000" w:rsidP="00000000" w:rsidRDefault="00000000" w:rsidRPr="00000000">
      <w:pPr>
        <w:numPr>
          <w:ilvl w:val="1"/>
          <w:numId w:val="1"/>
        </w:numPr>
        <w:tabs>
          <w:tab w:val="left" w:pos="851"/>
        </w:tabs>
        <w:spacing w:after="0" w:before="120" w:line="240" w:lineRule="auto"/>
        <w:ind w:left="850" w:hanging="652"/>
        <w:jc w:val="both"/>
        <w:rPr>
          <w:color w:val="000000"/>
        </w:rPr>
      </w:pPr>
      <w:r w:rsidDel="00000000" w:rsidR="00000000" w:rsidRPr="00000000">
        <w:rPr>
          <w:rFonts w:ascii="Arial" w:cs="Arial" w:eastAsia="Arial" w:hAnsi="Arial"/>
          <w:b w:val="0"/>
          <w:color w:val="000000"/>
          <w:sz w:val="24"/>
          <w:szCs w:val="24"/>
          <w:vertAlign w:val="baseline"/>
          <w:rtl w:val="0"/>
        </w:rPr>
        <w:t xml:space="preserve">Correos de Costa Rica (matasello conmemorativo del 40 Aniversario del TEC)  Pendientes de comunicación de acuerdo,</w:t>
      </w:r>
    </w:p>
    <w:p w:rsidR="00000000" w:rsidDel="00000000" w:rsidP="00000000" w:rsidRDefault="00000000" w:rsidRPr="00000000">
      <w:pPr>
        <w:numPr>
          <w:ilvl w:val="1"/>
          <w:numId w:val="1"/>
        </w:numPr>
        <w:tabs>
          <w:tab w:val="left" w:pos="851"/>
        </w:tabs>
        <w:spacing w:after="0" w:before="120" w:line="240" w:lineRule="auto"/>
        <w:ind w:left="850" w:hanging="652"/>
        <w:jc w:val="both"/>
        <w:rPr>
          <w:color w:val="000000"/>
        </w:rPr>
      </w:pPr>
      <w:r w:rsidDel="00000000" w:rsidR="00000000" w:rsidRPr="00000000">
        <w:rPr>
          <w:rFonts w:ascii="Arial" w:cs="Arial" w:eastAsia="Arial" w:hAnsi="Arial"/>
          <w:b w:val="0"/>
          <w:color w:val="000000"/>
          <w:sz w:val="24"/>
          <w:szCs w:val="24"/>
          <w:vertAlign w:val="baseline"/>
          <w:rtl w:val="0"/>
        </w:rPr>
        <w:t xml:space="preserve">Se efectuó un Plan de Medios para proyectar la labor del TEC enmarcado en este Aniversario, a saber: publicaciones en medios impresos de circulación nacional, cuñas en radio, un comercial en televisión, banners, afiches entre otros.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vertAlign w:val="baseline"/>
          <w:rtl w:val="0"/>
        </w:rPr>
        <w:t xml:space="preserve">Aunado a lo anterior y con el fin de unificar esfuerzos y reducir el costo  presupuestario de tan importante celebración, se dispone solicitar a la Junta Directiva de la Asociación Solidarista de Empleados del Instituto Tecnológico de Costa Rica (ASETEC), realizar de forma conjunta la actividad social que esta Asociación efectúa  en el mes de junio a todos sus asociados para festejar el día del padre y de la madre, para culminar la semana de las actividades del 40 Aniversario del TEC. </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vertAlign w:val="baseline"/>
          <w:rtl w:val="0"/>
        </w:rPr>
        <w:t xml:space="preserve">La ASETEC acogió de forma positiva la petición, lo cual fue comunicado mediante nota de ASETEC-205-10, con fecha 10 de noviembre del 2010.</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vertAlign w:val="baseline"/>
          <w:rtl w:val="0"/>
        </w:rPr>
        <w:t xml:space="preserve">Durante los meses de enero, febrero y marzo del presente año, se entrevistó a los ex rectores, primeros egresados del TEC y  representación de las Gestas de los  años 80, con el fin de recopilar información para  elaborar  la memoria de la institución.  </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vertAlign w:val="baseline"/>
          <w:rtl w:val="0"/>
        </w:rPr>
        <w:t xml:space="preserve">Se ha coordinado con las instancias correspondientes para contar con un calendario institucional que comprenda las tres sedes, enmarcado dentro del 40 Aniversario del TEC.  Las actividades académicas, culturales y deportivas por realizar son las siguientes: </w:t>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Actividades del 40 aniversario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Mes de junio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056.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1418"/>
        <w:gridCol w:w="992"/>
        <w:gridCol w:w="992"/>
        <w:gridCol w:w="1797"/>
        <w:gridCol w:w="1906"/>
        <w:tblGridChange w:id="0">
          <w:tblGrid>
            <w:gridCol w:w="1951"/>
            <w:gridCol w:w="1418"/>
            <w:gridCol w:w="992"/>
            <w:gridCol w:w="992"/>
            <w:gridCol w:w="1797"/>
            <w:gridCol w:w="1906"/>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Actividad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Modalidad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Fecha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Hora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Público Meta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Responsable</w:t>
            </w: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Actividad Ecuménica</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Protocolaria-Cultural</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1 junio</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9-11 am</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Comunidad Institucional</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Subcomisión de Protocolo</w:t>
            </w:r>
            <w:r w:rsidDel="00000000" w:rsidR="00000000" w:rsidRPr="00000000">
              <w:rPr>
                <w:rtl w:val="0"/>
              </w:rPr>
            </w:r>
          </w:p>
        </w:tc>
      </w:tr>
      <w:tr>
        <w:tc>
          <w:tcPr>
            <w:shd w:fill="f3f3f3"/>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Clásica atlética TEC 2011 del 40  Aniversario </w:t>
            </w:r>
            <w:r w:rsidDel="00000000" w:rsidR="00000000" w:rsidRPr="00000000">
              <w:rPr>
                <w:rtl w:val="0"/>
              </w:rPr>
            </w:r>
          </w:p>
        </w:tc>
        <w:tc>
          <w:tcPr>
            <w:shd w:fill="f3f3f3"/>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Deportiva </w:t>
            </w:r>
            <w:r w:rsidDel="00000000" w:rsidR="00000000" w:rsidRPr="00000000">
              <w:rPr>
                <w:rtl w:val="0"/>
              </w:rPr>
            </w:r>
          </w:p>
        </w:tc>
        <w:tc>
          <w:tcPr>
            <w:shd w:fill="f3f3f3"/>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5 junio</w:t>
            </w:r>
            <w:r w:rsidDel="00000000" w:rsidR="00000000" w:rsidRPr="00000000">
              <w:rPr>
                <w:rtl w:val="0"/>
              </w:rPr>
            </w:r>
          </w:p>
        </w:tc>
        <w:tc>
          <w:tcPr>
            <w:shd w:fill="f3f3f3"/>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9 am</w:t>
            </w:r>
            <w:r w:rsidDel="00000000" w:rsidR="00000000" w:rsidRPr="00000000">
              <w:rPr>
                <w:rtl w:val="0"/>
              </w:rPr>
            </w:r>
          </w:p>
        </w:tc>
        <w:tc>
          <w:tcPr>
            <w:shd w:fill="f3f3f3"/>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Comunidad institucional y nacional </w:t>
            </w:r>
            <w:r w:rsidDel="00000000" w:rsidR="00000000" w:rsidRPr="00000000">
              <w:rPr>
                <w:rtl w:val="0"/>
              </w:rPr>
            </w:r>
          </w:p>
        </w:tc>
        <w:tc>
          <w:tcPr>
            <w:shd w:fill="f3f3f3"/>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Subcomisión Cultural y Deportiva</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Día del ambiente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Iza de la Bandera Azul y otras actividades en torno al tema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Académica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6 junio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Comunidad Institucional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Subcomisión Académicos/ Comisión de Bandera Azul Ecológica/SIGA</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Feria InnovaTEC: Ciencia, arte y tecnología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Pasacalles salida Centro Académico y culmina Plaza de la Cultura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Académica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8 junio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9-3 pm</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Comunidad nacional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Subcomisión Culturales y Deportivas/ Centro Académico/ Sede Regional/Subco-misión de protocolo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Acto formal: Teatro Nacional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Protocolaria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8 junio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7 pm</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Comunidad nacional e institucional, Inst. Gubernamen-tales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Subcomisión de protocolo</w:t>
            </w: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Conferencia de fondo “Autonomía Universitaria”  Angel Lumbardi  (Alternativa 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Académica </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9 junio</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Tarde </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Comunidad institucional y universitaria </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Subcomisión Académica</w:t>
            </w: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Conferencia de fondo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“Ciencia, tecnología y humanismo” Leonardo Boff</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(Alternativa B)</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Académica</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 confir-mar</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 confir-mar</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Comunidad institucional y universitaria</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Subcomisión Académica</w:t>
            </w:r>
            <w:r w:rsidDel="00000000" w:rsidR="00000000" w:rsidRPr="00000000">
              <w:rPr>
                <w:rtl w:val="0"/>
              </w:rPr>
            </w:r>
          </w:p>
        </w:tc>
      </w:tr>
      <w:tr>
        <w:tc>
          <w:tcPr>
            <w:shd w:fill="f3f3f3"/>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Actividad Social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“Baile de Aniversario: blanco y negro” </w:t>
            </w:r>
            <w:r w:rsidDel="00000000" w:rsidR="00000000" w:rsidRPr="00000000">
              <w:rPr>
                <w:rtl w:val="0"/>
              </w:rPr>
            </w:r>
          </w:p>
        </w:tc>
        <w:tc>
          <w:tcPr>
            <w:shd w:fill="f3f3f3"/>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Social </w:t>
            </w:r>
            <w:r w:rsidDel="00000000" w:rsidR="00000000" w:rsidRPr="00000000">
              <w:rPr>
                <w:rtl w:val="0"/>
              </w:rPr>
            </w:r>
          </w:p>
        </w:tc>
        <w:tc>
          <w:tcPr>
            <w:shd w:fill="f3f3f3"/>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10 de junio </w:t>
            </w:r>
            <w:r w:rsidDel="00000000" w:rsidR="00000000" w:rsidRPr="00000000">
              <w:rPr>
                <w:rtl w:val="0"/>
              </w:rPr>
            </w:r>
          </w:p>
        </w:tc>
        <w:tc>
          <w:tcPr>
            <w:shd w:fill="f3f3f3"/>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5 pm</w:t>
            </w:r>
            <w:r w:rsidDel="00000000" w:rsidR="00000000" w:rsidRPr="00000000">
              <w:rPr>
                <w:rtl w:val="0"/>
              </w:rPr>
            </w:r>
          </w:p>
        </w:tc>
        <w:tc>
          <w:tcPr>
            <w:shd w:fill="f3f3f3"/>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Asociados ASETEC</w:t>
            </w:r>
            <w:r w:rsidDel="00000000" w:rsidR="00000000" w:rsidRPr="00000000">
              <w:rPr>
                <w:rtl w:val="0"/>
              </w:rPr>
            </w:r>
          </w:p>
        </w:tc>
        <w:tc>
          <w:tcPr>
            <w:shd w:fill="f3f3f3"/>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Subcomisión Sociales </w:t>
            </w:r>
            <w:r w:rsidDel="00000000" w:rsidR="00000000" w:rsidRPr="00000000">
              <w:rPr>
                <w:rtl w:val="0"/>
              </w:rPr>
            </w:r>
          </w:p>
        </w:tc>
      </w:tr>
      <w:tr>
        <w:tc>
          <w:tcPr>
            <w:shd w:fill="f3f3f3"/>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Festival artístico </w:t>
            </w:r>
            <w:r w:rsidDel="00000000" w:rsidR="00000000" w:rsidRPr="00000000">
              <w:rPr>
                <w:rtl w:val="0"/>
              </w:rPr>
            </w:r>
          </w:p>
        </w:tc>
        <w:tc>
          <w:tcPr>
            <w:shd w:fill="f3f3f3"/>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Cultural</w:t>
            </w:r>
            <w:r w:rsidDel="00000000" w:rsidR="00000000" w:rsidRPr="00000000">
              <w:rPr>
                <w:rtl w:val="0"/>
              </w:rPr>
            </w:r>
          </w:p>
        </w:tc>
        <w:tc>
          <w:tcPr>
            <w:shd w:fill="f3f3f3"/>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11 de junio </w:t>
            </w:r>
            <w:r w:rsidDel="00000000" w:rsidR="00000000" w:rsidRPr="00000000">
              <w:rPr>
                <w:rtl w:val="0"/>
              </w:rPr>
            </w:r>
          </w:p>
        </w:tc>
        <w:tc>
          <w:tcPr>
            <w:shd w:fill="f3f3f3"/>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Todo el día  </w:t>
            </w:r>
            <w:r w:rsidDel="00000000" w:rsidR="00000000" w:rsidRPr="00000000">
              <w:rPr>
                <w:rtl w:val="0"/>
              </w:rPr>
            </w:r>
          </w:p>
        </w:tc>
        <w:tc>
          <w:tcPr>
            <w:shd w:fill="f3f3f3"/>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Comunidad institucional comunidad nacional</w:t>
            </w:r>
            <w:r w:rsidDel="00000000" w:rsidR="00000000" w:rsidRPr="00000000">
              <w:rPr>
                <w:rtl w:val="0"/>
              </w:rPr>
            </w:r>
          </w:p>
        </w:tc>
        <w:tc>
          <w:tcPr>
            <w:shd w:fill="f3f3f3"/>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FEITEC </w:t>
            </w:r>
            <w:r w:rsidDel="00000000" w:rsidR="00000000" w:rsidRPr="00000000">
              <w:rPr>
                <w:rtl w:val="0"/>
              </w:rPr>
            </w:r>
          </w:p>
        </w:tc>
      </w:tr>
      <w:tr>
        <w:tc>
          <w:tcPr>
            <w:shd w:fill="f3f3f3"/>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-Acto formal de Aniversario Sede Regional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-Exposición de proyectos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-Mural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-Pasacalles </w:t>
            </w:r>
            <w:r w:rsidDel="00000000" w:rsidR="00000000" w:rsidRPr="00000000">
              <w:rPr>
                <w:rtl w:val="0"/>
              </w:rPr>
            </w:r>
          </w:p>
        </w:tc>
        <w:tc>
          <w:tcPr>
            <w:shd w:fill="f3f3f3"/>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Académico-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Protocolario </w:t>
            </w:r>
            <w:r w:rsidDel="00000000" w:rsidR="00000000" w:rsidRPr="00000000">
              <w:rPr>
                <w:rtl w:val="0"/>
              </w:rPr>
            </w:r>
          </w:p>
        </w:tc>
        <w:tc>
          <w:tcPr>
            <w:shd w:fill="f3f3f3"/>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14 junio</w:t>
            </w:r>
            <w:r w:rsidDel="00000000" w:rsidR="00000000" w:rsidRPr="00000000">
              <w:rPr>
                <w:rtl w:val="0"/>
              </w:rPr>
            </w:r>
          </w:p>
        </w:tc>
        <w:tc>
          <w:tcPr>
            <w:shd w:fill="f3f3f3"/>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Todo el día</w:t>
            </w:r>
            <w:r w:rsidDel="00000000" w:rsidR="00000000" w:rsidRPr="00000000">
              <w:rPr>
                <w:rtl w:val="0"/>
              </w:rPr>
            </w:r>
          </w:p>
        </w:tc>
        <w:tc>
          <w:tcPr>
            <w:shd w:fill="f3f3f3"/>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Comunidad institucional </w:t>
            </w:r>
            <w:r w:rsidDel="00000000" w:rsidR="00000000" w:rsidRPr="00000000">
              <w:rPr>
                <w:rtl w:val="0"/>
              </w:rPr>
            </w:r>
          </w:p>
        </w:tc>
        <w:tc>
          <w:tcPr>
            <w:shd w:fill="f3f3f3"/>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Subcomisión académica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Teatro Melico Salazar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Sesión solemne del Consejo Inst. reconocimientos a funcionarios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Protocolaria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16 junio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7 pm</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Comunidad Institucional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Subcomisión protocolo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Presentación de la memoria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Académica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 definir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 definir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Comunidad institucional, Comunidad nacional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Subcomisión de Comunicación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Conferencia “Historia y Evolución del Instituto Tecnológico de Costa Rica en el ámbito socioeconómico de la región” (Exponente: Ing. Alejandro Cruz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Académica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 definir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 definir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Comunidad institucional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Subcomisión de Académicos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Conferencia “Evolución del Instituto Tecnológico de Costa Rica en el ámbito socioeconómico de la región”, (Exponente: Elio Gallardo).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Académica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 definir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 definir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Comunidad institucional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Subcomisión de Académicos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Conferencia “Evolución del Instituto Tecnológico de Costa Rica en el ámbito socioeconómico de la región”, (Exponente: Jorge Rovira)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Académica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 definir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 definir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Comunidad institucional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Subcomisión de Académicos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Visita del Rector del TEC de Monterrey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Académicos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 definir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 definir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Comunidad institucional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Subcomisión de Académicos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Exposición de material audiovisual antiguo del TEC</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Académica cultural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 definir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 definir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Comunidad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Sub Comisión Académicos y Centro de Archivo  y Com.</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Otras actividades complementarias en el ámbito cultural y deportivo: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9484.0" w:type="dxa"/>
        <w:jc w:val="left"/>
        <w:tblInd w:w="142.0" w:type="dxa"/>
        <w:tblLayout w:type="fixed"/>
        <w:tblLook w:val="0000"/>
      </w:tblPr>
      <w:tblGrid>
        <w:gridCol w:w="1985"/>
        <w:gridCol w:w="2409"/>
        <w:gridCol w:w="1773"/>
        <w:gridCol w:w="3317"/>
        <w:tblGridChange w:id="0">
          <w:tblGrid>
            <w:gridCol w:w="1985"/>
            <w:gridCol w:w="2409"/>
            <w:gridCol w:w="1773"/>
            <w:gridCol w:w="3317"/>
          </w:tblGrid>
        </w:tblGridChange>
      </w:tblGrid>
      <w:tr>
        <w:tc>
          <w:tcPr>
            <w:tcBorders>
              <w:top w:color="000000" w:space="0" w:sz="8" w:val="single"/>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Actividad</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Fecha</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Lugar</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Responsable</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Festival Paula Rock</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25 y 26 de febrero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Casa de la Ciudad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Licda. Mariela Hernández Ramírez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Licda. Elena Arce Salazar</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Lunada Danza TEC</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Marzo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Campus central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M.Sc. Laura Sancho</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XVI Clásica TEC 2011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5 de junio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Cartago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M.Sc. Manuel Monge S, Comisión Central</w:t>
            </w:r>
            <w:r w:rsidDel="00000000" w:rsidR="00000000" w:rsidRPr="00000000">
              <w:rPr>
                <w:rtl w:val="0"/>
              </w:rPr>
            </w:r>
          </w:p>
        </w:tc>
      </w:tr>
      <w:tr>
        <w:tc>
          <w:tcPr>
            <w:tcBorders>
              <w:top w:color="000000" w:space="0" w:sz="0" w:val="nil"/>
              <w:left w:color="000000" w:space="0" w:sz="8" w:val="single"/>
              <w:bottom w:color="000000" w:space="0" w:sz="4"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Festival de Guitarra Joven</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17, 18 y 19 de junio</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Casa de la Ciudad</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Licda. Mariela Hernández Ramírez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Licda. Elena Arce Salazar</w:t>
            </w:r>
            <w:r w:rsidDel="00000000" w:rsidR="00000000" w:rsidRPr="00000000">
              <w:rPr>
                <w:rtl w:val="0"/>
              </w:rPr>
            </w:r>
          </w:p>
        </w:tc>
      </w:tr>
      <w:tr>
        <w:tc>
          <w:tcPr>
            <w:tcBorders>
              <w:top w:color="000000" w:space="0" w:sz="4" w:val="single"/>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I Campeonato Universitario de Taekwondo</w:t>
            </w: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Junio</w:t>
            </w: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Cartago</w:t>
            </w: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FECUNDE.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Dra. Rosaura Méndez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M.Sc. Manuel Monge</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Festival de Danza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Agosto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Casa de la Ciudad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Licda. Mariela Hernández Ramírez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Licda. Elena Arce Salazar</w:t>
            </w:r>
            <w:r w:rsidDel="00000000" w:rsidR="00000000" w:rsidRPr="00000000">
              <w:rPr>
                <w:rtl w:val="0"/>
              </w:rPr>
            </w:r>
          </w:p>
        </w:tc>
      </w:tr>
      <w:tr>
        <w:tc>
          <w:tcPr>
            <w:tcBorders>
              <w:top w:color="000000" w:space="0" w:sz="0" w:val="nil"/>
              <w:left w:color="000000" w:space="0" w:sz="8" w:val="single"/>
              <w:bottom w:color="000000" w:space="0" w:sz="4"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Feria de la Cultura Popular</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13, 14 y 15 de setiembre</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Casa de la Ciudad</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Licda. Mariela Hernández Ramírez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Licda. Elena Arce Salazar</w:t>
            </w:r>
            <w:r w:rsidDel="00000000" w:rsidR="00000000" w:rsidRPr="00000000">
              <w:rPr>
                <w:rtl w:val="0"/>
              </w:rPr>
            </w:r>
          </w:p>
        </w:tc>
      </w:tr>
      <w:tr>
        <w:tc>
          <w:tcPr>
            <w:tcBorders>
              <w:top w:color="000000" w:space="0" w:sz="4" w:val="single"/>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Festival Regional  de Vida Estudiantil.</w:t>
            </w: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Octubre</w:t>
            </w: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CASJ o/ Santa Clara</w:t>
            </w: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Comisión Organizadora /CONARE, FECUNDE, ACUC, Estilos de Vida</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Festival de Teatro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Octubre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Casa de la Ciudad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Licda. Mariela Hernández Ramírez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Licda. Elena Arce Salazar</w:t>
            </w:r>
            <w:r w:rsidDel="00000000" w:rsidR="00000000" w:rsidRPr="00000000">
              <w:rPr>
                <w:rtl w:val="0"/>
              </w:rPr>
            </w:r>
          </w:p>
        </w:tc>
      </w:tr>
      <w:tr>
        <w:tc>
          <w:tcPr>
            <w:tcBorders>
              <w:top w:color="000000" w:space="0" w:sz="0" w:val="nil"/>
              <w:left w:color="000000" w:space="0" w:sz="8" w:val="single"/>
              <w:bottom w:color="000000" w:space="0" w:sz="4"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Encuentro de Cuentacuentos</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Octubre</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Casa de la Ciudad</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Licda. Mariela Hernández Ramírez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Licda. Elena Arce Salazar</w:t>
            </w:r>
            <w:r w:rsidDel="00000000" w:rsidR="00000000" w:rsidRPr="00000000">
              <w:rPr>
                <w:rtl w:val="0"/>
              </w:rPr>
            </w:r>
          </w:p>
        </w:tc>
      </w:tr>
      <w:tr>
        <w:tc>
          <w:tcPr>
            <w:tcBorders>
              <w:top w:color="000000" w:space="0" w:sz="4" w:val="single"/>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Campeonato Universitario de Tenis de Mesa</w:t>
            </w: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Octubre</w:t>
            </w: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CASJ</w:t>
            </w: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FECUNDE.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Dra. Rosaura Méndez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M.Sc. Manuel Monge</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Campeonato Universitario de Natación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5 de noviembre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Santa Clara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FECUNDE.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Dra. Rosaura Méndez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M.Sc. Manuel Monge</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V Competencia de Ciclismo de Montaña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19 de setiembre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Cartago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FECUNDE.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Dra. Rosaura Méndez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M.Sc. Manuel Monge</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I Encuentro Panamericano de Deporte Universitario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23- 29 de noviembre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San Jose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Estadio Nacional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FECUNDE.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Dra. Rosaura Méndez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M.Sc. Manuel Monge</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Festival de Coros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Diciembre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Casa de la Ciudad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Licda. Mariela Hernández Ramírez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Licda. Elena Arce Salazar</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Día Contra la Homofobia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Mayo  17</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Campus central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Licda. Andrea Gómez</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40 Aniversario del TEC (pasacalles y Plaza de la Cultura)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Junio  8</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Plaza de la Cultura San José</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M.A. Laura Sancho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Unidades de Cultura Cartago y San José</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Exposición Graffiti</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Octubre 14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Casa de la Ciudad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Bach. César Fallas</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II Encuentro Nacional de Voluntariado Estatal Universitario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Agosto  27 y 28</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Por definir</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M.Sc. Desireé Mora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Bach. César Fallas</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Reconocimiento a estudiantes de grupos de extensión E C y 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Noviembre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Campus central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Escuela de Cultura y Deporte</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Semana Cívico Folclórica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Setiembre 12 al 15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Campus central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Licda. Andrea Gómez y Licda. Elena Arce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Unidad de Cultura</w:t>
            </w:r>
            <w:r w:rsidDel="00000000" w:rsidR="00000000" w:rsidRPr="00000000">
              <w:rPr>
                <w:rtl w:val="0"/>
              </w:rPr>
            </w:r>
          </w:p>
        </w:tc>
      </w:tr>
    </w:tbl>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vertAlign w:val="baseline"/>
          <w:rtl w:val="0"/>
        </w:rPr>
        <w:t xml:space="preserve">Para la realización de la Feria InnovaTEC y pasacalles, se gestionaron los permisos ante Museos de Costa Rica, Municipalidad de San José, por celebrarse en la Plaza de Cultura, en San José.</w:t>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vertAlign w:val="baseline"/>
          <w:rtl w:val="0"/>
        </w:rPr>
        <w:t xml:space="preserve">En el Presupuesto Ordinario 2011, se le dio contenido presupuestario a esta actividad, por un monto de 8.312.674,00; suma que se asigna anualmente. Este presupuesto es insuficiente por lo que, mediante el oficio R-076-2011 y R-0131-2011, el M.Sc. Eugenio Trejos Benavides, remite solicitud a la M.B.A. Auxiliadora Navarro, Directora del Departamento Financiero Contable, de presupuesto extraordinario para el 40 Aniversario del TEC por la suma de 40 millones de colones, con el fin de incluirlo en el I Presupuesto Extraordinario N° 01-2011.  Esta actividad se refleja en el Plan Anual Operativo 2011 (meta 6.1.1.1. inciso t).  A continuación se detalla la proyección presupuestaria:</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tbl>
      <w:tblPr>
        <w:tblStyle w:val="Table4"/>
        <w:bidi w:val="0"/>
        <w:tblW w:w="8505.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6"/>
        <w:gridCol w:w="3119"/>
        <w:tblGridChange w:id="0">
          <w:tblGrid>
            <w:gridCol w:w="5386"/>
            <w:gridCol w:w="3119"/>
          </w:tblGrid>
        </w:tblGridChange>
      </w:tblGrid>
      <w:tr>
        <w:trPr>
          <w:trHeight w:val="280" w:hRule="atLeast"/>
        </w:trPr>
        <w:tc>
          <w:tcPr/>
          <w:p w:rsidR="00000000" w:rsidDel="00000000" w:rsidP="00000000" w:rsidRDefault="00000000" w:rsidRPr="00000000">
            <w:pPr>
              <w:ind w:left="426" w:firstLine="0"/>
              <w:contextualSpacing w:val="0"/>
            </w:pPr>
            <w:r w:rsidDel="00000000" w:rsidR="00000000" w:rsidRPr="00000000">
              <w:rPr>
                <w:rFonts w:ascii="Arial" w:cs="Arial" w:eastAsia="Arial" w:hAnsi="Arial"/>
                <w:b w:val="1"/>
                <w:color w:val="000000"/>
                <w:sz w:val="22"/>
                <w:szCs w:val="22"/>
                <w:vertAlign w:val="baseline"/>
                <w:rtl w:val="0"/>
              </w:rPr>
              <w:t xml:space="preserve">ACTIVIDAD </w:t>
            </w:r>
            <w:r w:rsidDel="00000000" w:rsidR="00000000" w:rsidRPr="00000000">
              <w:rPr>
                <w:rtl w:val="0"/>
              </w:rPr>
            </w:r>
          </w:p>
        </w:tc>
        <w:tc>
          <w:tcPr/>
          <w:p w:rsidR="00000000" w:rsidDel="00000000" w:rsidP="00000000" w:rsidRDefault="00000000" w:rsidRPr="00000000">
            <w:pPr>
              <w:ind w:left="34" w:firstLine="0"/>
              <w:contextualSpacing w:val="0"/>
              <w:jc w:val="center"/>
            </w:pPr>
            <w:r w:rsidDel="00000000" w:rsidR="00000000" w:rsidRPr="00000000">
              <w:rPr>
                <w:rFonts w:ascii="Arial" w:cs="Arial" w:eastAsia="Arial" w:hAnsi="Arial"/>
                <w:b w:val="1"/>
                <w:color w:val="000000"/>
                <w:sz w:val="22"/>
                <w:szCs w:val="22"/>
                <w:vertAlign w:val="baseline"/>
                <w:rtl w:val="0"/>
              </w:rPr>
              <w:t xml:space="preserve">PRESUPUESTO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vertAlign w:val="baseline"/>
                <w:rtl w:val="0"/>
              </w:rPr>
              <w:t xml:space="preserve">Ecuménica </w:t>
            </w:r>
            <w:r w:rsidDel="00000000" w:rsidR="00000000" w:rsidRPr="00000000">
              <w:rPr>
                <w:rtl w:val="0"/>
              </w:rPr>
            </w:r>
          </w:p>
        </w:tc>
        <w:tc>
          <w:tcPr/>
          <w:p w:rsidR="00000000" w:rsidDel="00000000" w:rsidP="00000000" w:rsidRDefault="00000000" w:rsidRPr="00000000">
            <w:pPr>
              <w:ind w:left="426" w:right="1310" w:firstLine="0"/>
              <w:contextualSpacing w:val="0"/>
              <w:jc w:val="right"/>
            </w:pPr>
            <w:r w:rsidDel="00000000" w:rsidR="00000000" w:rsidRPr="00000000">
              <w:rPr>
                <w:rFonts w:ascii="Arial" w:cs="Arial" w:eastAsia="Arial" w:hAnsi="Arial"/>
                <w:color w:val="000000"/>
                <w:sz w:val="22"/>
                <w:szCs w:val="22"/>
                <w:vertAlign w:val="baseline"/>
                <w:rtl w:val="0"/>
              </w:rPr>
              <w:t xml:space="preserve">400 000</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vertAlign w:val="baseline"/>
                <w:rtl w:val="0"/>
              </w:rPr>
              <w:t xml:space="preserve">Actividad Teatro Nacional </w:t>
            </w:r>
            <w:r w:rsidDel="00000000" w:rsidR="00000000" w:rsidRPr="00000000">
              <w:rPr>
                <w:rtl w:val="0"/>
              </w:rPr>
            </w:r>
          </w:p>
        </w:tc>
        <w:tc>
          <w:tcPr/>
          <w:p w:rsidR="00000000" w:rsidDel="00000000" w:rsidP="00000000" w:rsidRDefault="00000000" w:rsidRPr="00000000">
            <w:pPr>
              <w:ind w:left="426" w:right="1310" w:firstLine="0"/>
              <w:contextualSpacing w:val="0"/>
              <w:jc w:val="right"/>
            </w:pPr>
            <w:r w:rsidDel="00000000" w:rsidR="00000000" w:rsidRPr="00000000">
              <w:rPr>
                <w:rFonts w:ascii="Arial" w:cs="Arial" w:eastAsia="Arial" w:hAnsi="Arial"/>
                <w:color w:val="000000"/>
                <w:sz w:val="22"/>
                <w:szCs w:val="22"/>
                <w:vertAlign w:val="baseline"/>
                <w:rtl w:val="0"/>
              </w:rPr>
              <w:t xml:space="preserve">3 500 000</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vertAlign w:val="baseline"/>
                <w:rtl w:val="0"/>
              </w:rPr>
              <w:t xml:space="preserve">Actividad Teatro Melico Salazar </w:t>
            </w:r>
            <w:r w:rsidDel="00000000" w:rsidR="00000000" w:rsidRPr="00000000">
              <w:rPr>
                <w:rtl w:val="0"/>
              </w:rPr>
            </w:r>
          </w:p>
        </w:tc>
        <w:tc>
          <w:tcPr/>
          <w:p w:rsidR="00000000" w:rsidDel="00000000" w:rsidP="00000000" w:rsidRDefault="00000000" w:rsidRPr="00000000">
            <w:pPr>
              <w:ind w:left="426" w:right="1310" w:firstLine="0"/>
              <w:contextualSpacing w:val="0"/>
              <w:jc w:val="right"/>
            </w:pPr>
            <w:r w:rsidDel="00000000" w:rsidR="00000000" w:rsidRPr="00000000">
              <w:rPr>
                <w:rFonts w:ascii="Arial" w:cs="Arial" w:eastAsia="Arial" w:hAnsi="Arial"/>
                <w:color w:val="000000"/>
                <w:sz w:val="22"/>
                <w:szCs w:val="22"/>
                <w:vertAlign w:val="baseline"/>
                <w:rtl w:val="0"/>
              </w:rPr>
              <w:t xml:space="preserve">   6 500 000</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vertAlign w:val="baseline"/>
                <w:rtl w:val="0"/>
              </w:rPr>
              <w:t xml:space="preserve">Espectáculo “El lugar donde las ranas cantan”</w:t>
            </w:r>
            <w:r w:rsidDel="00000000" w:rsidR="00000000" w:rsidRPr="00000000">
              <w:rPr>
                <w:rtl w:val="0"/>
              </w:rPr>
            </w:r>
          </w:p>
        </w:tc>
        <w:tc>
          <w:tcPr/>
          <w:p w:rsidR="00000000" w:rsidDel="00000000" w:rsidP="00000000" w:rsidRDefault="00000000" w:rsidRPr="00000000">
            <w:pPr>
              <w:ind w:left="426" w:right="1310" w:firstLine="0"/>
              <w:contextualSpacing w:val="0"/>
              <w:jc w:val="right"/>
            </w:pPr>
            <w:r w:rsidDel="00000000" w:rsidR="00000000" w:rsidRPr="00000000">
              <w:rPr>
                <w:rFonts w:ascii="Arial" w:cs="Arial" w:eastAsia="Arial" w:hAnsi="Arial"/>
                <w:color w:val="000000"/>
                <w:sz w:val="22"/>
                <w:szCs w:val="22"/>
                <w:vertAlign w:val="baseline"/>
                <w:rtl w:val="0"/>
              </w:rPr>
              <w:t xml:space="preserve">3 500 000</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vertAlign w:val="baseline"/>
                <w:rtl w:val="0"/>
              </w:rPr>
              <w:t xml:space="preserve">Memoria </w:t>
            </w:r>
            <w:r w:rsidDel="00000000" w:rsidR="00000000" w:rsidRPr="00000000">
              <w:rPr>
                <w:rtl w:val="0"/>
              </w:rPr>
            </w:r>
          </w:p>
        </w:tc>
        <w:tc>
          <w:tcPr/>
          <w:p w:rsidR="00000000" w:rsidDel="00000000" w:rsidP="00000000" w:rsidRDefault="00000000" w:rsidRPr="00000000">
            <w:pPr>
              <w:ind w:left="426" w:right="1310" w:firstLine="0"/>
              <w:contextualSpacing w:val="0"/>
              <w:jc w:val="right"/>
            </w:pPr>
            <w:r w:rsidDel="00000000" w:rsidR="00000000" w:rsidRPr="00000000">
              <w:rPr>
                <w:rFonts w:ascii="Arial" w:cs="Arial" w:eastAsia="Arial" w:hAnsi="Arial"/>
                <w:color w:val="000000"/>
                <w:sz w:val="22"/>
                <w:szCs w:val="22"/>
                <w:vertAlign w:val="baseline"/>
                <w:rtl w:val="0"/>
              </w:rPr>
              <w:t xml:space="preserve">5 000 000</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vertAlign w:val="baseline"/>
                <w:rtl w:val="0"/>
              </w:rPr>
              <w:t xml:space="preserve">Plan de Medios  (producción del comercial)</w:t>
            </w:r>
            <w:r w:rsidDel="00000000" w:rsidR="00000000" w:rsidRPr="00000000">
              <w:rPr>
                <w:rtl w:val="0"/>
              </w:rPr>
            </w:r>
          </w:p>
        </w:tc>
        <w:tc>
          <w:tcPr/>
          <w:p w:rsidR="00000000" w:rsidDel="00000000" w:rsidP="00000000" w:rsidRDefault="00000000" w:rsidRPr="00000000">
            <w:pPr>
              <w:ind w:left="426" w:right="1310" w:firstLine="0"/>
              <w:contextualSpacing w:val="0"/>
              <w:jc w:val="right"/>
            </w:pPr>
            <w:r w:rsidDel="00000000" w:rsidR="00000000" w:rsidRPr="00000000">
              <w:rPr>
                <w:rFonts w:ascii="Arial" w:cs="Arial" w:eastAsia="Arial" w:hAnsi="Arial"/>
                <w:color w:val="000000"/>
                <w:sz w:val="22"/>
                <w:szCs w:val="22"/>
                <w:vertAlign w:val="baseline"/>
                <w:rtl w:val="0"/>
              </w:rPr>
              <w:t xml:space="preserve">4 000 000</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vertAlign w:val="baseline"/>
                <w:rtl w:val="0"/>
              </w:rPr>
              <w:t xml:space="preserve">Charlas de fondo. Conferencistas internacionales  </w:t>
            </w:r>
            <w:r w:rsidDel="00000000" w:rsidR="00000000" w:rsidRPr="00000000">
              <w:rPr>
                <w:rtl w:val="0"/>
              </w:rPr>
            </w:r>
          </w:p>
        </w:tc>
        <w:tc>
          <w:tcPr/>
          <w:p w:rsidR="00000000" w:rsidDel="00000000" w:rsidP="00000000" w:rsidRDefault="00000000" w:rsidRPr="00000000">
            <w:pPr>
              <w:ind w:left="426" w:right="1310" w:firstLine="0"/>
              <w:contextualSpacing w:val="0"/>
              <w:jc w:val="right"/>
            </w:pPr>
            <w:r w:rsidDel="00000000" w:rsidR="00000000" w:rsidRPr="00000000">
              <w:rPr>
                <w:rFonts w:ascii="Arial" w:cs="Arial" w:eastAsia="Arial" w:hAnsi="Arial"/>
                <w:color w:val="000000"/>
                <w:sz w:val="22"/>
                <w:szCs w:val="22"/>
                <w:vertAlign w:val="baseline"/>
                <w:rtl w:val="0"/>
              </w:rPr>
              <w:t xml:space="preserve">5 000 000</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vertAlign w:val="baseline"/>
                <w:rtl w:val="0"/>
              </w:rPr>
              <w:t xml:space="preserve">Feria  InnovaTEC</w:t>
            </w:r>
            <w:r w:rsidDel="00000000" w:rsidR="00000000" w:rsidRPr="00000000">
              <w:rPr>
                <w:rtl w:val="0"/>
              </w:rPr>
            </w:r>
          </w:p>
        </w:tc>
        <w:tc>
          <w:tcPr/>
          <w:p w:rsidR="00000000" w:rsidDel="00000000" w:rsidP="00000000" w:rsidRDefault="00000000" w:rsidRPr="00000000">
            <w:pPr>
              <w:ind w:right="1310"/>
              <w:contextualSpacing w:val="0"/>
              <w:jc w:val="right"/>
            </w:pPr>
            <w:r w:rsidDel="00000000" w:rsidR="00000000" w:rsidRPr="00000000">
              <w:rPr>
                <w:rFonts w:ascii="Arial" w:cs="Arial" w:eastAsia="Arial" w:hAnsi="Arial"/>
                <w:color w:val="000000"/>
                <w:sz w:val="22"/>
                <w:szCs w:val="22"/>
                <w:vertAlign w:val="baseline"/>
                <w:rtl w:val="0"/>
              </w:rPr>
              <w:t xml:space="preserve">12 000 000</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vertAlign w:val="baseline"/>
                <w:rtl w:val="0"/>
              </w:rPr>
              <w:t xml:space="preserve">Actividad de San Carlos (acto solemne, pasacalles y feria) </w:t>
            </w:r>
            <w:r w:rsidDel="00000000" w:rsidR="00000000" w:rsidRPr="00000000">
              <w:rPr>
                <w:rtl w:val="0"/>
              </w:rPr>
            </w:r>
          </w:p>
        </w:tc>
        <w:tc>
          <w:tcPr/>
          <w:p w:rsidR="00000000" w:rsidDel="00000000" w:rsidP="00000000" w:rsidRDefault="00000000" w:rsidRPr="00000000">
            <w:pPr>
              <w:ind w:right="1310"/>
              <w:contextualSpacing w:val="0"/>
              <w:jc w:val="right"/>
            </w:pPr>
            <w:r w:rsidDel="00000000" w:rsidR="00000000" w:rsidRPr="00000000">
              <w:rPr>
                <w:rFonts w:ascii="Arial" w:cs="Arial" w:eastAsia="Arial" w:hAnsi="Arial"/>
                <w:color w:val="000000"/>
                <w:sz w:val="22"/>
                <w:szCs w:val="22"/>
                <w:vertAlign w:val="baseline"/>
                <w:rtl w:val="0"/>
              </w:rPr>
              <w:t xml:space="preserve">3 500 000</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vertAlign w:val="baseline"/>
                <w:rtl w:val="0"/>
              </w:rPr>
              <w:t xml:space="preserve">Otras actividades académicas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vertAlign w:val="baseline"/>
                <w:rtl w:val="0"/>
              </w:rPr>
              <w:t xml:space="preserve">(Iza bandera azul, refrigerios charlas nacionales)</w:t>
            </w:r>
            <w:r w:rsidDel="00000000" w:rsidR="00000000" w:rsidRPr="00000000">
              <w:rPr>
                <w:rtl w:val="0"/>
              </w:rPr>
            </w:r>
          </w:p>
        </w:tc>
        <w:tc>
          <w:tcPr/>
          <w:p w:rsidR="00000000" w:rsidDel="00000000" w:rsidP="00000000" w:rsidRDefault="00000000" w:rsidRPr="00000000">
            <w:pPr>
              <w:ind w:right="1310"/>
              <w:contextualSpacing w:val="0"/>
              <w:jc w:val="right"/>
            </w:pPr>
            <w:r w:rsidDel="00000000" w:rsidR="00000000" w:rsidRPr="00000000">
              <w:rPr>
                <w:rFonts w:ascii="Arial" w:cs="Arial" w:eastAsia="Arial" w:hAnsi="Arial"/>
                <w:color w:val="000000"/>
                <w:sz w:val="22"/>
                <w:szCs w:val="22"/>
                <w:vertAlign w:val="baseline"/>
                <w:rtl w:val="0"/>
              </w:rPr>
              <w:t xml:space="preserve">4 312 000</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vertAlign w:val="baseline"/>
                <w:rtl w:val="0"/>
              </w:rPr>
              <w:t xml:space="preserve">Transferencia de material audiovisual antiguo del TEC</w:t>
            </w:r>
            <w:r w:rsidDel="00000000" w:rsidR="00000000" w:rsidRPr="00000000">
              <w:rPr>
                <w:rtl w:val="0"/>
              </w:rPr>
            </w:r>
          </w:p>
        </w:tc>
        <w:tc>
          <w:tcPr/>
          <w:p w:rsidR="00000000" w:rsidDel="00000000" w:rsidP="00000000" w:rsidRDefault="00000000" w:rsidRPr="00000000">
            <w:pPr>
              <w:ind w:right="1310"/>
              <w:contextualSpacing w:val="0"/>
              <w:jc w:val="right"/>
            </w:pPr>
            <w:r w:rsidDel="00000000" w:rsidR="00000000" w:rsidRPr="00000000">
              <w:rPr>
                <w:rFonts w:ascii="Arial" w:cs="Arial" w:eastAsia="Arial" w:hAnsi="Arial"/>
                <w:color w:val="000000"/>
                <w:sz w:val="22"/>
                <w:szCs w:val="22"/>
                <w:vertAlign w:val="baseline"/>
                <w:rtl w:val="0"/>
              </w:rPr>
              <w:t xml:space="preserve">    600.000</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vertAlign w:val="baseline"/>
                <w:rtl w:val="0"/>
              </w:rPr>
              <w:t xml:space="preserve">TOTAL </w:t>
            </w:r>
            <w:r w:rsidDel="00000000" w:rsidR="00000000" w:rsidRPr="00000000">
              <w:rPr>
                <w:rtl w:val="0"/>
              </w:rPr>
            </w:r>
          </w:p>
        </w:tc>
        <w:tc>
          <w:tcPr/>
          <w:p w:rsidR="00000000" w:rsidDel="00000000" w:rsidP="00000000" w:rsidRDefault="00000000" w:rsidRPr="00000000">
            <w:pPr>
              <w:ind w:right="1310"/>
              <w:contextualSpacing w:val="0"/>
              <w:jc w:val="right"/>
            </w:pPr>
            <w:r w:rsidDel="00000000" w:rsidR="00000000" w:rsidRPr="00000000">
              <w:rPr>
                <w:rFonts w:ascii="Arial" w:cs="Arial" w:eastAsia="Arial" w:hAnsi="Arial"/>
                <w:color w:val="000000"/>
                <w:sz w:val="22"/>
                <w:szCs w:val="22"/>
                <w:vertAlign w:val="baseline"/>
                <w:rtl w:val="0"/>
              </w:rPr>
              <w:t xml:space="preserve">48 312 000</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960" w:hanging="960"/>
        <w:contextualSpacing w:val="0"/>
        <w:jc w:val="both"/>
      </w:pPr>
      <w:r w:rsidDel="00000000" w:rsidR="00000000" w:rsidRPr="00000000">
        <w:rPr>
          <w:rFonts w:ascii="Arial" w:cs="Arial" w:eastAsia="Arial" w:hAnsi="Arial"/>
          <w:b w:val="1"/>
          <w:color w:val="000000"/>
          <w:vertAlign w:val="baseline"/>
          <w:rtl w:val="0"/>
        </w:rPr>
        <w:t xml:space="preserve">SE ACUERDA: </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jc w:val="both"/>
        <w:rPr>
          <w:color w:val="000000"/>
        </w:rPr>
      </w:pPr>
      <w:r w:rsidDel="00000000" w:rsidR="00000000" w:rsidRPr="00000000">
        <w:rPr>
          <w:rFonts w:ascii="Arial" w:cs="Arial" w:eastAsia="Arial" w:hAnsi="Arial"/>
          <w:b w:val="0"/>
          <w:color w:val="000000"/>
          <w:sz w:val="24"/>
          <w:szCs w:val="24"/>
          <w:vertAlign w:val="baseline"/>
          <w:rtl w:val="0"/>
        </w:rPr>
        <w:t xml:space="preserve">Declarar de interés institucional las actividades enmarcadas dentro de la conmemoración del 40 Aniversario del Instituto Tecnológico de Costa Rica, por celebrarse el 10 de junio del 2011.</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jc w:val="both"/>
        <w:rPr>
          <w:color w:val="000000"/>
        </w:rPr>
      </w:pPr>
      <w:r w:rsidDel="00000000" w:rsidR="00000000" w:rsidRPr="00000000">
        <w:rPr>
          <w:rFonts w:ascii="Arial" w:cs="Arial" w:eastAsia="Arial" w:hAnsi="Arial"/>
          <w:b w:val="0"/>
          <w:color w:val="000000"/>
          <w:sz w:val="24"/>
          <w:szCs w:val="24"/>
          <w:vertAlign w:val="baseline"/>
          <w:rtl w:val="0"/>
        </w:rPr>
        <w:t xml:space="preserve">Solicitar a la Administración, que realice las gestiones correspondientes para que se  asigne el presupuesto según los requerimientos y de acuerdo con la normativa vigente, que permitan apoyar la realización de todas las actividades enmarcadas dentro del 40 Aniversario TEC.</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jc w:val="both"/>
        <w:rPr>
          <w:color w:val="000000"/>
        </w:rPr>
      </w:pPr>
      <w:r w:rsidDel="00000000" w:rsidR="00000000" w:rsidRPr="00000000">
        <w:rPr>
          <w:rFonts w:ascii="Arial" w:cs="Arial" w:eastAsia="Arial" w:hAnsi="Arial"/>
          <w:b w:val="0"/>
          <w:color w:val="000000"/>
          <w:sz w:val="24"/>
          <w:szCs w:val="24"/>
          <w:vertAlign w:val="baseline"/>
          <w:rtl w:val="0"/>
        </w:rPr>
        <w:t xml:space="preserve">Delegar en el señor Rector la formalización de la Comisión del 40 Aniversario del Instituto Tecnológico de Costa Rica. </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BSS/yz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5"/>
        <w:bidi w:val="0"/>
        <w:tblW w:w="9500.0" w:type="dxa"/>
        <w:jc w:val="left"/>
        <w:tblInd w:w="-70.0" w:type="dxa"/>
        <w:tblLayout w:type="fixed"/>
        <w:tblLook w:val="0000"/>
      </w:tblPr>
      <w:tblGrid>
        <w:gridCol w:w="4510"/>
        <w:gridCol w:w="240"/>
        <w:gridCol w:w="4680"/>
        <w:gridCol w:w="70"/>
        <w:tblGridChange w:id="0">
          <w:tblGrid>
            <w:gridCol w:w="4510"/>
            <w:gridCol w:w="240"/>
            <w:gridCol w:w="4680"/>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tl w:val="0"/>
              </w:rPr>
            </w:r>
          </w:p>
        </w:tc>
        <w:tc>
          <w:tcPr>
            <w:gridSpan w:val="2"/>
          </w:tcPr>
          <w:p w:rsidR="00000000" w:rsidDel="00000000" w:rsidP="00000000" w:rsidRDefault="00000000" w:rsidRPr="00000000">
            <w:pPr>
              <w:ind w:left="18" w:right="567" w:firstLine="5.999999999999998"/>
              <w:contextualSpacing w:val="0"/>
              <w:jc w:val="both"/>
            </w:pPr>
            <w:r w:rsidDel="00000000" w:rsidR="00000000" w:rsidRPr="00000000">
              <w:rPr>
                <w:rtl w:val="0"/>
              </w:rPr>
            </w:r>
          </w:p>
        </w:tc>
      </w:tr>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Administración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San José</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Sede Regional </w:t>
            </w:r>
            <w:r w:rsidDel="00000000" w:rsidR="00000000" w:rsidRPr="00000000">
              <w:rPr>
                <w:rtl w:val="0"/>
              </w:rPr>
            </w:r>
          </w:p>
        </w:tc>
        <w:tc>
          <w:tcPr>
            <w:gridSpan w:val="3"/>
          </w:tcPr>
          <w:p w:rsidR="00000000" w:rsidDel="00000000" w:rsidP="00000000" w:rsidRDefault="00000000" w:rsidRPr="00000000">
            <w:pPr>
              <w:ind w:left="18" w:right="567" w:firstLine="5.999999999999998"/>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Oficina de Prensa</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18" w:right="567" w:firstLine="5.999999999999998"/>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ind w:left="18" w:right="567" w:firstLine="5.999999999999998"/>
              <w:contextualSpacing w:val="0"/>
              <w:jc w:val="both"/>
            </w:pPr>
            <w:r w:rsidDel="00000000" w:rsidR="00000000" w:rsidRPr="00000000">
              <w:rPr>
                <w:rFonts w:ascii="Arial" w:cs="Arial" w:eastAsia="Arial" w:hAnsi="Arial"/>
                <w:b w:val="1"/>
                <w:sz w:val="16"/>
                <w:szCs w:val="16"/>
                <w:vertAlign w:val="baseline"/>
                <w:rtl w:val="0"/>
              </w:rPr>
              <w:t xml:space="preserve">Departamento de Financiero Contable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361" w:top="2268" w:left="1361" w:right="136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583565</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rFonts w:ascii="Arial" w:cs="Arial" w:eastAsia="Arial" w:hAnsi="Arial"/>
        <w:b w:val="1"/>
        <w:i w:val="0"/>
        <w:sz w:val="24"/>
        <w:szCs w:val="24"/>
        <w:vertAlign w:val="baseline"/>
      </w:rPr>
    </w:lvl>
    <w:lvl w:ilvl="1">
      <w:start w:val="3"/>
      <w:numFmt w:val="bullet"/>
      <w:lvlText w:val="-"/>
      <w:lvlJc w:val="left"/>
      <w:pPr>
        <w:ind w:left="1080" w:firstLine="720"/>
      </w:pPr>
      <w:rPr>
        <w:rFonts w:ascii="Arial" w:cs="Arial" w:eastAsia="Arial" w:hAnsi="Arial"/>
        <w:b w:val="1"/>
        <w:sz w:val="24"/>
        <w:szCs w:val="24"/>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1440" w:firstLine="1080"/>
      </w:pPr>
      <w:rPr>
        <w:b w:val="0"/>
        <w:i w:val="0"/>
        <w:sz w:val="22"/>
        <w:szCs w:val="22"/>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lvl w:ilvl="0">
      <w:start w:val="1"/>
      <w:numFmt w:val="decimal"/>
      <w:lvlText w:val="%1."/>
      <w:lvlJc w:val="left"/>
      <w:pPr>
        <w:ind w:left="720" w:firstLine="360"/>
      </w:pPr>
      <w:rPr>
        <w:rFonts w:ascii="Arial" w:cs="Arial" w:eastAsia="Arial" w:hAnsi="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360" w:firstLine="0"/>
      </w:pPr>
      <w:rPr>
        <w:rFonts w:ascii="Arial" w:cs="Arial" w:eastAsia="Arial" w:hAnsi="Arial"/>
        <w:b w:val="1"/>
        <w:i w:val="0"/>
        <w:sz w:val="24"/>
        <w:szCs w:val="24"/>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