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SCI-278-2011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56.0" w:type="dxa"/>
        <w:jc w:val="left"/>
        <w:tblLayout w:type="fixed"/>
        <w:tblLook w:val="0000"/>
      </w:tblPr>
      <w:tblGrid>
        <w:gridCol w:w="1123"/>
        <w:gridCol w:w="11"/>
        <w:gridCol w:w="8222"/>
        <w:tblGridChange w:id="0">
          <w:tblGrid>
            <w:gridCol w:w="1123"/>
            <w:gridCol w:w="11"/>
            <w:gridCol w:w="822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Giannina Ortiz, Presidenta del Consejo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William Vives, Director del Departamento de Admisión y Registro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Randall Chaves, Director Escuela de Ingeniería Agropecuaria Administrativa</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7 de abril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2708 Artículo 12, del 7 de abril del 2011. Nombre del título a otorgar en el Programa de Licenciatura en Ingeniería en Agronegocios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2673, Artículo 10, del 05 de agosto del 2010, aprobó el Programa de Licenciatura en Ingeniería en Agronegocios de la Escuela de Ingeniería Agropecuaria Administrativa, para iniciar su impartición a partir del I semestre del año 2011, no obstante, en esa aprobación no se incluyó la aprobación del cambio del nombre del título por razones ajenas a este Órgano.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ViDa-243-2011, con fecha 21 de marzo del 2011, suscrito por la MSc. Giannina Ortiz, Presidenta del Consejo de Docencia, dirigido al M.Sc. Eugenio Trejos Benavides, Presidente del Consejo Institucional, en el cual remite el comunicado de acuerdo, Sesión No. 02-2011, Artículo 5, inciso a, del 16 de marzo del 2011, como se detalla a continuación: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276"/>
        </w:tabs>
        <w:ind w:left="1276" w:right="849" w:hanging="85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tabs>
          <w:tab w:val="left" w:pos="993"/>
        </w:tabs>
        <w:ind w:left="993" w:right="849" w:hanging="85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de Escuela de Ingeniería Agropecuaria Administrativa, el día 07 de diciembre de 2009, aprobó en su sesión 28-09, artículo 04, la modificación curricular de la Carrera hacia el Programa de Licenciatura en Ingeniería en Agronegocios.</w:t>
      </w:r>
      <w:r w:rsidDel="00000000" w:rsidR="00000000" w:rsidRPr="00000000">
        <w:rPr>
          <w:rtl w:val="0"/>
        </w:rPr>
      </w:r>
    </w:p>
    <w:p w:rsidR="00000000" w:rsidDel="00000000" w:rsidP="00000000" w:rsidRDefault="00000000" w:rsidRPr="00000000">
      <w:pPr>
        <w:ind w:left="1560" w:right="991" w:hanging="295"/>
        <w:contextualSpacing w:val="0"/>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de Docencia aprobó el Programa de Licenciatura en Ingeniería en Agronegocios en la Sesión Ordinaria No. 10-2010, celebrada el 30 de junio del 2010, artículo 5, inciso a.</w:t>
      </w:r>
      <w:r w:rsidDel="00000000" w:rsidR="00000000" w:rsidRPr="00000000">
        <w:rPr>
          <w:rtl w:val="0"/>
        </w:rPr>
      </w:r>
    </w:p>
    <w:p w:rsidR="00000000" w:rsidDel="00000000" w:rsidP="00000000" w:rsidRDefault="00000000" w:rsidRPr="00000000">
      <w:pPr>
        <w:ind w:left="993" w:right="162" w:firstLine="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Sesión Ordinaria No. 2673, artículo 10, del 05 de agosto del 2010 aprueba el Programa para iniciar su impartición a partir del I semestre del año 2011.</w:t>
      </w:r>
      <w:r w:rsidDel="00000000" w:rsidR="00000000" w:rsidRPr="00000000">
        <w:rPr>
          <w:rtl w:val="0"/>
        </w:rPr>
      </w:r>
    </w:p>
    <w:p w:rsidR="00000000" w:rsidDel="00000000" w:rsidP="00000000" w:rsidRDefault="00000000" w:rsidRPr="00000000">
      <w:pPr>
        <w:ind w:left="1560" w:right="162" w:firstLine="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Por un error involuntario, en el documento de reforma curricular aprobado no quedó en forma explícita el nombre del título a entregar al concluir la carrera.</w:t>
      </w:r>
      <w:r w:rsidDel="00000000" w:rsidR="00000000" w:rsidRPr="00000000">
        <w:rPr>
          <w:rtl w:val="0"/>
        </w:rPr>
      </w:r>
    </w:p>
    <w:p w:rsidR="00000000" w:rsidDel="00000000" w:rsidP="00000000" w:rsidRDefault="00000000" w:rsidRPr="00000000">
      <w:pPr>
        <w:ind w:left="1560" w:right="162" w:firstLine="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corregir la omisión es necesario el trámite y aprobaciones a nivel de diferentes órganos institucionales.</w:t>
      </w:r>
      <w:r w:rsidDel="00000000" w:rsidR="00000000" w:rsidRPr="00000000">
        <w:rPr>
          <w:rtl w:val="0"/>
        </w:rPr>
      </w:r>
    </w:p>
    <w:p w:rsidR="00000000" w:rsidDel="00000000" w:rsidP="00000000" w:rsidRDefault="00000000" w:rsidRPr="00000000">
      <w:pPr>
        <w:ind w:left="1560" w:right="162" w:firstLine="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de Escuela de Ingeniería Administrativa, en su sesión ordinaria 03-2011, artículo 8, celebrada el 01 de marzo de 2011, acordó:</w:t>
      </w:r>
      <w:r w:rsidDel="00000000" w:rsidR="00000000" w:rsidRPr="00000000">
        <w:rPr>
          <w:rtl w:val="0"/>
        </w:rPr>
      </w:r>
    </w:p>
    <w:p w:rsidR="00000000" w:rsidDel="00000000" w:rsidP="00000000" w:rsidRDefault="00000000" w:rsidRPr="00000000">
      <w:pPr>
        <w:ind w:left="1134" w:right="9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1418" w:right="162" w:hanging="425"/>
        <w:jc w:val="both"/>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Aclarar que el nombre del Título a entregar al concluir la carrera de Ingeniería en Agronegocios (plan 113) es el de Ingeniero(a) en Agronegocios, con el grado académico de Licenciatura.</w:t>
      </w:r>
      <w:r w:rsidDel="00000000" w:rsidR="00000000" w:rsidRPr="00000000">
        <w:rPr>
          <w:rtl w:val="0"/>
        </w:rPr>
      </w:r>
    </w:p>
    <w:p w:rsidR="00000000" w:rsidDel="00000000" w:rsidP="00000000" w:rsidRDefault="00000000" w:rsidRPr="00000000">
      <w:pPr>
        <w:ind w:left="1418" w:right="162" w:hanging="425"/>
        <w:contextualSpacing w:val="0"/>
        <w:jc w:val="both"/>
      </w:pPr>
      <w:r w:rsidDel="00000000" w:rsidR="00000000" w:rsidRPr="00000000">
        <w:rPr>
          <w:rtl w:val="0"/>
        </w:rPr>
      </w:r>
    </w:p>
    <w:p w:rsidR="00000000" w:rsidDel="00000000" w:rsidP="00000000" w:rsidRDefault="00000000" w:rsidRPr="00000000">
      <w:pPr>
        <w:numPr>
          <w:ilvl w:val="0"/>
          <w:numId w:val="3"/>
        </w:numPr>
        <w:ind w:left="1418" w:right="162" w:hanging="425"/>
        <w:rPr>
          <w:rFonts w:ascii="Arial" w:cs="Arial" w:eastAsia="Arial" w:hAnsi="Arial"/>
          <w:i w:val="0"/>
          <w:sz w:val="18"/>
          <w:szCs w:val="18"/>
        </w:rPr>
      </w:pPr>
      <w:r w:rsidDel="00000000" w:rsidR="00000000" w:rsidRPr="00000000">
        <w:rPr>
          <w:rFonts w:ascii="Arial" w:cs="Arial" w:eastAsia="Arial" w:hAnsi="Arial"/>
          <w:i w:val="1"/>
          <w:sz w:val="18"/>
          <w:szCs w:val="18"/>
          <w:vertAlign w:val="baseline"/>
          <w:rtl w:val="0"/>
        </w:rPr>
        <w:t xml:space="preserve">Solicitar a las instancias institucionales correspondientes la aprobación de este título a entregar. </w:t>
      </w:r>
      <w:r w:rsidDel="00000000" w:rsidR="00000000" w:rsidRPr="00000000">
        <w:rPr>
          <w:rtl w:val="0"/>
        </w:rPr>
      </w:r>
    </w:p>
    <w:p w:rsidR="00000000" w:rsidDel="00000000" w:rsidP="00000000" w:rsidRDefault="00000000" w:rsidRPr="00000000">
      <w:pPr>
        <w:ind w:left="1134" w:right="991" w:firstLine="0"/>
        <w:contextualSpacing w:val="0"/>
        <w:jc w:val="both"/>
      </w:pPr>
      <w:r w:rsidDel="00000000" w:rsidR="00000000" w:rsidRPr="00000000">
        <w:rPr>
          <w:rtl w:val="0"/>
        </w:rPr>
      </w:r>
    </w:p>
    <w:p w:rsidR="00000000" w:rsidDel="00000000" w:rsidP="00000000" w:rsidRDefault="00000000" w:rsidRPr="00000000">
      <w:pPr>
        <w:numPr>
          <w:ilvl w:val="0"/>
          <w:numId w:val="5"/>
        </w:numPr>
        <w:ind w:left="993" w:right="162" w:hanging="426"/>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Mediante oficio CEDA-097-2011 del 02 de marzo de 2011, el M.A. Ulises Rodríguez Guerrero, Director del Centro de Desarrollo Académico, da el aval técnico para el título a otorgar como </w:t>
      </w:r>
      <w:r w:rsidDel="00000000" w:rsidR="00000000" w:rsidRPr="00000000">
        <w:rPr>
          <w:rFonts w:ascii="Arial" w:cs="Arial" w:eastAsia="Arial" w:hAnsi="Arial"/>
          <w:b w:val="1"/>
          <w:i w:val="1"/>
          <w:sz w:val="20"/>
          <w:szCs w:val="20"/>
          <w:vertAlign w:val="baseline"/>
          <w:rtl w:val="0"/>
        </w:rPr>
        <w:t xml:space="preserve">Ingeniero/a en Agronegocios </w:t>
      </w:r>
      <w:r w:rsidDel="00000000" w:rsidR="00000000" w:rsidRPr="00000000">
        <w:rPr>
          <w:rFonts w:ascii="Arial" w:cs="Arial" w:eastAsia="Arial" w:hAnsi="Arial"/>
          <w:i w:val="1"/>
          <w:sz w:val="20"/>
          <w:szCs w:val="20"/>
          <w:vertAlign w:val="baseline"/>
          <w:rtl w:val="0"/>
        </w:rPr>
        <w:t xml:space="preserve">con Grado </w:t>
      </w:r>
      <w:r w:rsidDel="00000000" w:rsidR="00000000" w:rsidRPr="00000000">
        <w:rPr>
          <w:rFonts w:ascii="Arial" w:cs="Arial" w:eastAsia="Arial" w:hAnsi="Arial"/>
          <w:b w:val="1"/>
          <w:i w:val="1"/>
          <w:sz w:val="20"/>
          <w:szCs w:val="20"/>
          <w:vertAlign w:val="baseline"/>
          <w:rtl w:val="0"/>
        </w:rPr>
        <w:t xml:space="preserve">Licenciatura.</w:t>
      </w:r>
      <w:r w:rsidDel="00000000" w:rsidR="00000000" w:rsidRPr="00000000">
        <w:rPr>
          <w:rtl w:val="0"/>
        </w:rPr>
      </w:r>
    </w:p>
    <w:p w:rsidR="00000000" w:rsidDel="00000000" w:rsidP="00000000" w:rsidRDefault="00000000" w:rsidRPr="00000000">
      <w:pPr>
        <w:ind w:left="1134" w:right="991" w:firstLine="0"/>
        <w:contextualSpacing w:val="0"/>
        <w:jc w:val="both"/>
      </w:pPr>
      <w:r w:rsidDel="00000000" w:rsidR="00000000" w:rsidRPr="00000000">
        <w:rPr>
          <w:rtl w:val="0"/>
        </w:rPr>
      </w:r>
    </w:p>
    <w:p w:rsidR="00000000" w:rsidDel="00000000" w:rsidP="00000000" w:rsidRDefault="00000000" w:rsidRPr="00000000">
      <w:pPr>
        <w:ind w:left="993" w:right="991" w:firstLine="0"/>
        <w:contextualSpacing w:val="0"/>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1560" w:right="991" w:hanging="284.00000000000006"/>
        <w:contextualSpacing w:val="0"/>
        <w:jc w:val="both"/>
      </w:pPr>
      <w:r w:rsidDel="00000000" w:rsidR="00000000" w:rsidRPr="00000000">
        <w:rPr>
          <w:rtl w:val="0"/>
        </w:rPr>
      </w:r>
    </w:p>
    <w:p w:rsidR="00000000" w:rsidDel="00000000" w:rsidP="00000000" w:rsidRDefault="00000000" w:rsidRPr="00000000">
      <w:pPr>
        <w:numPr>
          <w:ilvl w:val="0"/>
          <w:numId w:val="4"/>
        </w:numPr>
        <w:ind w:left="1418" w:right="162" w:hanging="425"/>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Agregar al Programa de Licenciatura en Ingeniería en Agronegocios, aprobado por el Consejo de Docencia en la Sesión Ordinaria No. 10-2010, celebrada el 30 de junio del 2010, artículo 5, inciso a., que el </w:t>
      </w:r>
      <w:r w:rsidDel="00000000" w:rsidR="00000000" w:rsidRPr="00000000">
        <w:rPr>
          <w:rFonts w:ascii="Arial" w:cs="Arial" w:eastAsia="Arial" w:hAnsi="Arial"/>
          <w:b w:val="1"/>
          <w:i w:val="1"/>
          <w:color w:val="000000"/>
          <w:sz w:val="20"/>
          <w:szCs w:val="20"/>
          <w:vertAlign w:val="baseline"/>
          <w:rtl w:val="0"/>
        </w:rPr>
        <w:t xml:space="preserve">título a otorgar</w:t>
      </w:r>
      <w:r w:rsidDel="00000000" w:rsidR="00000000" w:rsidRPr="00000000">
        <w:rPr>
          <w:rFonts w:ascii="Arial" w:cs="Arial" w:eastAsia="Arial" w:hAnsi="Arial"/>
          <w:i w:val="1"/>
          <w:color w:val="000000"/>
          <w:sz w:val="20"/>
          <w:szCs w:val="20"/>
          <w:vertAlign w:val="baseline"/>
          <w:rtl w:val="0"/>
        </w:rPr>
        <w:t xml:space="preserve"> al concluir la Carrera de Ingeniería en Agronegocios es el de </w:t>
      </w:r>
      <w:r w:rsidDel="00000000" w:rsidR="00000000" w:rsidRPr="00000000">
        <w:rPr>
          <w:rFonts w:ascii="Arial" w:cs="Arial" w:eastAsia="Arial" w:hAnsi="Arial"/>
          <w:b w:val="1"/>
          <w:i w:val="1"/>
          <w:color w:val="000000"/>
          <w:sz w:val="20"/>
          <w:szCs w:val="20"/>
          <w:vertAlign w:val="baseline"/>
          <w:rtl w:val="0"/>
        </w:rPr>
        <w:t xml:space="preserve">Ingeniero(a) en Agronegocios, con el grado académico de Licenciatura.</w:t>
      </w:r>
      <w:r w:rsidDel="00000000" w:rsidR="00000000" w:rsidRPr="00000000">
        <w:rPr>
          <w:rtl w:val="0"/>
        </w:rPr>
      </w:r>
    </w:p>
    <w:p w:rsidR="00000000" w:rsidDel="00000000" w:rsidP="00000000" w:rsidRDefault="00000000" w:rsidRPr="00000000">
      <w:pPr>
        <w:ind w:left="1418" w:right="162" w:hanging="425"/>
        <w:contextualSpacing w:val="0"/>
        <w:jc w:val="both"/>
      </w:pPr>
      <w:r w:rsidDel="00000000" w:rsidR="00000000" w:rsidRPr="00000000">
        <w:rPr>
          <w:rtl w:val="0"/>
        </w:rPr>
      </w:r>
    </w:p>
    <w:p w:rsidR="00000000" w:rsidDel="00000000" w:rsidP="00000000" w:rsidRDefault="00000000" w:rsidRPr="00000000">
      <w:pPr>
        <w:numPr>
          <w:ilvl w:val="0"/>
          <w:numId w:val="4"/>
        </w:numPr>
        <w:ind w:left="1418" w:right="162" w:hanging="425"/>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Solicitar al Consejo Institucional que apruebe que el título de la carrera de Ingeniería en  Agronegocios sea Ingeniero(a) en Agronegocios con el grado de Licenciatura”.</w:t>
      </w:r>
      <w:r w:rsidDel="00000000" w:rsidR="00000000" w:rsidRPr="00000000">
        <w:rPr>
          <w:rtl w:val="0"/>
        </w:rPr>
      </w:r>
    </w:p>
    <w:p w:rsidR="00000000" w:rsidDel="00000000" w:rsidP="00000000" w:rsidRDefault="00000000" w:rsidRPr="00000000">
      <w:pPr>
        <w:ind w:left="1560" w:right="991" w:hanging="284.00000000000006"/>
        <w:contextualSpacing w:val="0"/>
      </w:pPr>
      <w:r w:rsidDel="00000000" w:rsidR="00000000" w:rsidRPr="00000000">
        <w:rPr>
          <w:rtl w:val="0"/>
        </w:rPr>
      </w:r>
    </w:p>
    <w:p w:rsidR="00000000" w:rsidDel="00000000" w:rsidP="00000000" w:rsidRDefault="00000000" w:rsidRPr="00000000">
      <w:pPr>
        <w:spacing w:after="120" w:before="0" w:line="240" w:lineRule="auto"/>
        <w:ind w:right="991" w:firstLine="993"/>
        <w:contextualSpacing w:val="0"/>
      </w:pP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Fonts w:ascii="Arial" w:cs="Arial" w:eastAsia="Arial" w:hAnsi="Arial"/>
          <w:b w:val="0"/>
          <w:i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No. 307-2011, realizada el 04 de abril del 2011, conoció la solicitud de aprobación del título del Programa de Licenciatura en Ingeniería en Agronegocios y dispuso elevar la propuesta al Pleno.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Aprobar el nombre del título a otorgar en el Programa de Licenciatura en Ingeniería en Agronegocios aprobado por el Consejo Institucional en la Sesión Ordinaria No. 2673, del 5 de agosto del 2010, para que sea: “Ingeniero(a) en Agronegocios, con el grado académico de Licenciatura”.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361" w:top="2268" w:left="1361" w:right="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5"/>
      <w:numFmt w:val="decimal"/>
      <w:lvlText w:val="%1.%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04" w:firstLine="284.00000000000006"/>
      </w:pPr>
      <w:rPr>
        <w:b w:val="1"/>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854" w:firstLine="1494"/>
      </w:pPr>
      <w:rPr>
        <w:b w:val="1"/>
        <w:vertAlign w:val="baseline"/>
      </w:rPr>
    </w:lvl>
    <w:lvl w:ilvl="1">
      <w:start w:val="1"/>
      <w:numFmt w:val="lowerLetter"/>
      <w:lvlText w:val="%2."/>
      <w:lvlJc w:val="left"/>
      <w:pPr>
        <w:ind w:left="2574" w:firstLine="2214"/>
      </w:pPr>
      <w:rPr>
        <w:vertAlign w:val="baseline"/>
      </w:rPr>
    </w:lvl>
    <w:lvl w:ilvl="2">
      <w:start w:val="1"/>
      <w:numFmt w:val="lowerRoman"/>
      <w:lvlText w:val="%3."/>
      <w:lvlJc w:val="right"/>
      <w:pPr>
        <w:ind w:left="3294" w:firstLine="3114"/>
      </w:pPr>
      <w:rPr>
        <w:vertAlign w:val="baseline"/>
      </w:rPr>
    </w:lvl>
    <w:lvl w:ilvl="3">
      <w:start w:val="1"/>
      <w:numFmt w:val="decimal"/>
      <w:lvlText w:val="%4."/>
      <w:lvlJc w:val="left"/>
      <w:pPr>
        <w:ind w:left="4014" w:firstLine="3654"/>
      </w:pPr>
      <w:rPr>
        <w:vertAlign w:val="baseline"/>
      </w:rPr>
    </w:lvl>
    <w:lvl w:ilvl="4">
      <w:start w:val="1"/>
      <w:numFmt w:val="lowerLetter"/>
      <w:lvlText w:val="%5."/>
      <w:lvlJc w:val="left"/>
      <w:pPr>
        <w:ind w:left="4734" w:firstLine="4374"/>
      </w:pPr>
      <w:rPr>
        <w:vertAlign w:val="baseline"/>
      </w:rPr>
    </w:lvl>
    <w:lvl w:ilvl="5">
      <w:start w:val="1"/>
      <w:numFmt w:val="lowerRoman"/>
      <w:lvlText w:val="%6."/>
      <w:lvlJc w:val="right"/>
      <w:pPr>
        <w:ind w:left="5454" w:firstLine="5274"/>
      </w:pPr>
      <w:rPr>
        <w:vertAlign w:val="baseline"/>
      </w:rPr>
    </w:lvl>
    <w:lvl w:ilvl="6">
      <w:start w:val="1"/>
      <w:numFmt w:val="decimal"/>
      <w:lvlText w:val="%7."/>
      <w:lvlJc w:val="left"/>
      <w:pPr>
        <w:ind w:left="6174" w:firstLine="5814"/>
      </w:pPr>
      <w:rPr>
        <w:vertAlign w:val="baseline"/>
      </w:rPr>
    </w:lvl>
    <w:lvl w:ilvl="7">
      <w:start w:val="1"/>
      <w:numFmt w:val="lowerLetter"/>
      <w:lvlText w:val="%8."/>
      <w:lvlJc w:val="left"/>
      <w:pPr>
        <w:ind w:left="6894" w:firstLine="6534"/>
      </w:pPr>
      <w:rPr>
        <w:vertAlign w:val="baseline"/>
      </w:rPr>
    </w:lvl>
    <w:lvl w:ilvl="8">
      <w:start w:val="1"/>
      <w:numFmt w:val="lowerRoman"/>
      <w:lvlText w:val="%9."/>
      <w:lvlJc w:val="right"/>
      <w:pPr>
        <w:ind w:left="7614" w:firstLine="7434"/>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