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SCI-315-2011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56.0" w:type="dxa"/>
        <w:jc w:val="left"/>
        <w:tblLayout w:type="fixed"/>
        <w:tblLook w:val="0000"/>
      </w:tblPr>
      <w:tblGrid>
        <w:gridCol w:w="1123"/>
        <w:gridCol w:w="11"/>
        <w:gridCol w:w="8222"/>
        <w:tblGridChange w:id="0">
          <w:tblGrid>
            <w:gridCol w:w="1123"/>
            <w:gridCol w:w="11"/>
            <w:gridCol w:w="822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 Walter Sequeira, Director del Departamento de Aprovisionamiento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Auxiliadora Navarro, Directora del Departamento de Financiero Contable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Dra. Hannia Rodríguez, Directora del Departamento de Recursos Humanos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Nancy Hidalgo Dittel, Representante Docente ante el Consejo Institucional  </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BQ. Grettel Castro Portuguez, Representante Docente ante el Consejo Institucional  </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28 de abril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Sesión Ordinaria No. 2710 Artículo 8, del 28 de abril del 2011. </w:t>
            </w:r>
            <w:r w:rsidDel="00000000" w:rsidR="00000000" w:rsidRPr="00000000">
              <w:rPr>
                <w:rFonts w:ascii="Arial" w:cs="Arial" w:eastAsia="Arial" w:hAnsi="Arial"/>
                <w:b w:val="1"/>
                <w:color w:val="000000"/>
                <w:sz w:val="22"/>
                <w:szCs w:val="22"/>
                <w:vertAlign w:val="baseline"/>
                <w:rtl w:val="0"/>
              </w:rPr>
              <w:t xml:space="preserve">Modificación de acuerdo tomado en la </w:t>
            </w:r>
            <w:r w:rsidDel="00000000" w:rsidR="00000000" w:rsidRPr="00000000">
              <w:rPr>
                <w:rFonts w:ascii="Arial" w:cs="Arial" w:eastAsia="Arial" w:hAnsi="Arial"/>
                <w:b w:val="1"/>
                <w:sz w:val="22"/>
                <w:szCs w:val="22"/>
                <w:vertAlign w:val="baseline"/>
                <w:rtl w:val="0"/>
              </w:rPr>
              <w:t xml:space="preserve">Sesión Ordinaria No. 2709 Artículo 9, del 14 de abril del 2011 “Designación de representantes del Consejo Institucional ante el Foro Latinoamericano sobre Autonomía Universitaria “La Autonomía Universitaria Hoy Experiencias y desafíos en América Latina y el Caribe”, por celebrarse Guadalajara, Jalisco, México, durante los días 19 y 20 de mayo del 2011 y autorización de pago de viáticos al exterior, y tiquetes aéreos, para que 2 de los representantes participen en el Foro”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ind w:left="1134" w:hanging="1134"/>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2709, Artículo 9, del 14 de abril del 2011, acordó lo siguiente: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i w:val="1"/>
          <w:sz w:val="22"/>
          <w:szCs w:val="22"/>
          <w:vertAlign w:val="baseline"/>
          <w:rtl w:val="0"/>
        </w:rPr>
        <w:t xml:space="preserve">“a.</w:t>
        <w:tab/>
        <w:t xml:space="preserve">Designar a la Ing. Nancy Hidalgo Dittel, cédula 1-461-501, Ing. Jorge Chaves Arce, cédula 3-253-388, y BQ. Grettel Castro Portuguez, cédula 2-347-272 como representantes del Consejo Institucional ante el Foro: Latinoamericano sobre Autonomía Universitaria “La Autonomía Universitaria Hoy Experiencias y desafíos en América Latina y el Caribe”, por celebrarse en la Universidad de Guadalajara, Jalisco, México, durante los días 19 y 20 de mayo del 2011.</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i w:val="1"/>
          <w:sz w:val="22"/>
          <w:szCs w:val="22"/>
          <w:vertAlign w:val="baseline"/>
          <w:rtl w:val="0"/>
        </w:rPr>
        <w:t xml:space="preserve">b.</w:t>
        <w:tab/>
        <w:t xml:space="preserve">Autorizar el pago de los tiquetes aéreos, viáticos de ley, impuestos de salida, así como el monto proporcional para gastos menores de viaje de acuerdo con la tarifa establecida en el Reglamento de Gastos de Viaje y Transporte, para Funcionarios Públicos para los representantes Jorge Chaves Arce y Grettel Castro Portuguez, para que participen en dicha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i w:val="1"/>
          <w:sz w:val="22"/>
          <w:szCs w:val="22"/>
          <w:vertAlign w:val="baseline"/>
          <w:rtl w:val="0"/>
        </w:rPr>
        <w:t xml:space="preserve">c.</w:t>
        <w:tab/>
        <w:t xml:space="preserve">Solicitar a la Rectoría el pago de lo establecido en el inciso anterior y cargado a los siguientes centros de costo pertenecientes al Presupuesto de operación de la Rectoría, monto que será reembolsado una vez que se apruebe el I  Primer Presupuesto Extraordinario: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tbl>
      <w:tblPr>
        <w:tblStyle w:val="Table2"/>
        <w:bidi w:val="0"/>
        <w:tblW w:w="8154.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0"/>
        <w:gridCol w:w="2154"/>
        <w:tblGridChange w:id="0">
          <w:tblGrid>
            <w:gridCol w:w="6000"/>
            <w:gridCol w:w="2154"/>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i w:val="1"/>
                <w:sz w:val="22"/>
                <w:szCs w:val="22"/>
                <w:vertAlign w:val="baseline"/>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i w:val="1"/>
                <w:sz w:val="22"/>
                <w:szCs w:val="22"/>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i w:val="1"/>
                <w:sz w:val="22"/>
                <w:szCs w:val="22"/>
                <w:vertAlign w:val="baseline"/>
                <w:rtl w:val="0"/>
              </w:rPr>
              <w:t xml:space="preserve">5101-1111-0001 objeto de  gasto 1530 (transporte en el exterior $571,78 incluye tiquete aéreo e impuesto de salida de México por persona más impuestos de salida de Costa Rica $26 por persona)</w:t>
            </w:r>
            <w:r w:rsidDel="00000000" w:rsidR="00000000" w:rsidRPr="00000000">
              <w:rPr>
                <w:rtl w:val="0"/>
              </w:rPr>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i w:val="1"/>
                <w:sz w:val="22"/>
                <w:szCs w:val="22"/>
                <w:vertAlign w:val="baseline"/>
                <w:rtl w:val="0"/>
              </w:rPr>
              <w:t xml:space="preserve">$1195,56</w:t>
            </w:r>
            <w:r w:rsidDel="00000000" w:rsidR="00000000" w:rsidRPr="00000000">
              <w:rPr>
                <w:rtl w:val="0"/>
              </w:rPr>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i w:val="1"/>
                <w:sz w:val="22"/>
                <w:szCs w:val="22"/>
                <w:vertAlign w:val="baseline"/>
                <w:rtl w:val="0"/>
              </w:rPr>
              <w:t xml:space="preserve">5101-1111-0001 objeto de gasto 1540 (Viáticos en el exterior de acuerdo a la Tabla de la Contraloría General de la República)</w:t>
            </w:r>
            <w:r w:rsidDel="00000000" w:rsidR="00000000" w:rsidRPr="00000000">
              <w:rPr>
                <w:rtl w:val="0"/>
              </w:rPr>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i w:val="1"/>
                <w:sz w:val="22"/>
                <w:szCs w:val="22"/>
                <w:vertAlign w:val="baseline"/>
                <w:rtl w:val="0"/>
              </w:rPr>
              <w:t xml:space="preserve">$2472</w:t>
            </w:r>
            <w:r w:rsidDel="00000000" w:rsidR="00000000" w:rsidRPr="00000000">
              <w:rPr>
                <w:rtl w:val="0"/>
              </w:rPr>
            </w:r>
          </w:p>
          <w:p w:rsidR="00000000" w:rsidDel="00000000" w:rsidP="00000000" w:rsidRDefault="00000000" w:rsidRPr="00000000">
            <w:pPr>
              <w:tabs>
                <w:tab w:val="right" w:pos="2410"/>
                <w:tab w:val="left" w:pos="2694"/>
              </w:tabs>
              <w:spacing w:after="60" w:before="60" w:lineRule="auto"/>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i w:val="1"/>
          <w:sz w:val="22"/>
          <w:szCs w:val="22"/>
          <w:vertAlign w:val="baseline"/>
          <w:rtl w:val="0"/>
        </w:rPr>
        <w:t xml:space="preserve">d.</w:t>
        <w:tab/>
        <w:t xml:space="preserve">Solicitar a los representantes ante este Foro entregar al Consejo Institucional un informe de su participación en la actividad, quince días después de su regreso.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i w:val="1"/>
          <w:sz w:val="22"/>
          <w:szCs w:val="22"/>
          <w:vertAlign w:val="baseline"/>
          <w:rtl w:val="0"/>
        </w:rPr>
        <w:t xml:space="preserve">e.</w:t>
        <w:tab/>
        <w:t xml:space="preserve"> Comunicar</w:t>
      </w:r>
      <w:r w:rsidDel="00000000" w:rsidR="00000000" w:rsidRPr="00000000">
        <w:rPr>
          <w:rFonts w:ascii="Arial" w:cs="Arial" w:eastAsia="Arial" w:hAnsi="Arial"/>
          <w:b w:val="1"/>
          <w:i w:val="1"/>
          <w:sz w:val="22"/>
          <w:szCs w:val="22"/>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razón de que el señor Jorge Chaves, por motivos de fuerza mayor, no podrá viajar en las fechas citadas, solicita al Consejo Institucional modificar el acuerdo citado para que se nombre a otra persona integrante del órgano.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Dado que la Ingra. Nancy Hidalgo Dittel, recibió el aval médico para poder realizar el viaje y había decidido realizar el mismo sufragado con fondos propios;  sin embargo, por tratarse de que la Ingra. Hidalgo Dittel es la representante oficial del Consejo Institucional, ante la Comisión de Autonomía Universitaria conformada por el CONARE, se justifica que la Institución cubra el viaje.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tabs>
          <w:tab w:val="left" w:pos="2188"/>
        </w:tabs>
        <w:contextualSpacing w:val="0"/>
        <w:jc w:val="both"/>
      </w:pPr>
      <w:r w:rsidDel="00000000" w:rsidR="00000000" w:rsidRPr="00000000">
        <w:rPr>
          <w:rFonts w:ascii="Arial" w:cs="Arial" w:eastAsia="Arial" w:hAnsi="Arial"/>
          <w:b w:val="1"/>
          <w:vertAlign w:val="baseline"/>
          <w:rtl w:val="0"/>
        </w:rPr>
        <w:t xml:space="preserve">SE ACUERDA: </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Modificar el inciso a., del acuerdo tomado por el Consejo Institucional, en la Sesión Ordinaria No. 2709, Artículo 9, del 14 de abril del 2011 “Designación de representantes del Consejo Institucional ante el Foro Latinoamericano sobre Autonomía Universitaria “La Autonomía Universitaria Hoy Experiencias y desafíos en América Latina y el Caribe”, por celebrarse Guadalajara, Jalisco, México, durante los días 19 y 20 de mayo del 2011 y autorización de pago de viáticos al exterior, y tiquetes aéreos, para que 2 de los representantes participen en el Foro”; para que se lea de la siguiente manera: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Autorizar el pago de los tiquetes aéreos, viáticos de ley, impuestos de salida, así como el monto proporcional para gastos menores de viaje de acuerdo con la tarifa establecida en el Reglamento de Gastos de Viaje y Transporte, para Funcionarios Públicos, para que las señoras Grettel Castro Portuguez y Nancy Hidalgo Dittel, participen en dicha actividad”.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Modificar el inciso b., de este mismo acuerdo, para que se lea de la siguiente manera: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“Designar a la Ingra. Nancy Hidalgo Dittel, cédula 1-461-501 y a la BQ. Grettel Castro Portuguez, cédula 2-347-272, como representantes del Consejo Institucional ante el Foro: Latinoamericano sobre Autonomía Universitaria “La Autonomía Universitaria Hoy Experiencias y desafíos en América Latina y el Caribe”, por celebrarse en la Universidad de Guadalajara, Jalisco, México, durante los días 19 y 20 de mayo del 2011”.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Escuela de Química</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Escuela de Ingeniería Agrícola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361" w:top="2268" w:left="1361" w:right="1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