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SCI-343-2011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Giannina Ortiz Q., Rectora interina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M.B.A Jorge Mena Calderón, Vicerrector de la Vicerrectoría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Hannia Rodríguez, Directora Departamento Recursos Humanos</w:t>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5 de mayo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Sesión Ordinaria No. 2711 Artículo 15, del 5 de mayo del 2011. Informe  de Ejecución de Plazas 2010</w:t>
            </w:r>
            <w:r w:rsidDel="00000000" w:rsidR="00000000" w:rsidRPr="00000000">
              <w:rPr>
                <w:rtl w:val="0"/>
              </w:rPr>
            </w:r>
          </w:p>
        </w:tc>
      </w:tr>
    </w:tbl>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500" w:right="51" w:hanging="5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2684, Artículo 8 del 14 de octubre del 2010.   “Informes de ejecución de plazas de los meses de mayo y agosto 2010, según acuerdo tomado por el Consejo Institucional en la Sesión No. 2641, Artículo 9B, del 26 de noviembre de 2009”,  acordó:</w:t>
      </w:r>
      <w:r w:rsidDel="00000000" w:rsidR="00000000" w:rsidRPr="00000000">
        <w:rPr>
          <w:rtl w:val="0"/>
        </w:rPr>
      </w:r>
    </w:p>
    <w:p w:rsidR="00000000" w:rsidDel="00000000" w:rsidP="00000000" w:rsidRDefault="00000000" w:rsidRPr="00000000">
      <w:pPr>
        <w:tabs>
          <w:tab w:val="left" w:pos="3544"/>
        </w:tabs>
        <w:ind w:right="51"/>
        <w:contextualSpacing w:val="0"/>
        <w:jc w:val="both"/>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910" w:hanging="477"/>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b w:val="0"/>
          <w:i w:val="1"/>
          <w:sz w:val="22"/>
          <w:szCs w:val="22"/>
          <w:vertAlign w:val="baseline"/>
          <w:rtl w:val="0"/>
        </w:rPr>
        <w:t xml:space="preserve">.   Dar por conocido los informes de ejecución de plazas al 15 de junio  y al   31 de agosto de 2010.</w:t>
      </w:r>
      <w:r w:rsidDel="00000000" w:rsidR="00000000" w:rsidRPr="00000000">
        <w:rPr>
          <w:rtl w:val="0"/>
        </w:rPr>
      </w:r>
    </w:p>
    <w:p w:rsidR="00000000" w:rsidDel="00000000" w:rsidP="00000000" w:rsidRDefault="00000000" w:rsidRPr="00000000">
      <w:pPr>
        <w:spacing w:after="0" w:before="0" w:line="240" w:lineRule="auto"/>
        <w:ind w:left="100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910" w:hanging="477"/>
        <w:contextualSpacing w:val="0"/>
        <w:jc w:val="both"/>
      </w:pPr>
      <w:r w:rsidDel="00000000" w:rsidR="00000000" w:rsidRPr="00000000">
        <w:rPr>
          <w:rFonts w:ascii="Arial" w:cs="Arial" w:eastAsia="Arial" w:hAnsi="Arial"/>
          <w:b w:val="1"/>
          <w:i w:val="1"/>
          <w:sz w:val="22"/>
          <w:szCs w:val="22"/>
          <w:vertAlign w:val="baseline"/>
          <w:rtl w:val="0"/>
        </w:rPr>
        <w:t xml:space="preserve">b</w:t>
      </w:r>
      <w:r w:rsidDel="00000000" w:rsidR="00000000" w:rsidRPr="00000000">
        <w:rPr>
          <w:rFonts w:ascii="Arial" w:cs="Arial" w:eastAsia="Arial" w:hAnsi="Arial"/>
          <w:b w:val="0"/>
          <w:i w:val="1"/>
          <w:sz w:val="22"/>
          <w:szCs w:val="22"/>
          <w:vertAlign w:val="baseline"/>
          <w:rtl w:val="0"/>
        </w:rPr>
        <w:t xml:space="preserve">.   Solicitar a la Administración que justifique debidamente las razones de la no utilización total o parcial de las plazas aprobadas.</w:t>
      </w:r>
      <w:r w:rsidDel="00000000" w:rsidR="00000000" w:rsidRPr="00000000">
        <w:rPr>
          <w:rtl w:val="0"/>
        </w:rPr>
      </w:r>
    </w:p>
    <w:p w:rsidR="00000000" w:rsidDel="00000000" w:rsidP="00000000" w:rsidRDefault="00000000" w:rsidRPr="00000000">
      <w:pPr>
        <w:spacing w:after="0" w:before="0" w:line="240" w:lineRule="auto"/>
        <w:ind w:left="100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910" w:hanging="477"/>
        <w:contextualSpacing w:val="0"/>
        <w:jc w:val="both"/>
      </w:pPr>
      <w:r w:rsidDel="00000000" w:rsidR="00000000" w:rsidRPr="00000000">
        <w:rPr>
          <w:rFonts w:ascii="Arial" w:cs="Arial" w:eastAsia="Arial" w:hAnsi="Arial"/>
          <w:b w:val="1"/>
          <w:i w:val="1"/>
          <w:sz w:val="22"/>
          <w:szCs w:val="22"/>
          <w:vertAlign w:val="baseline"/>
          <w:rtl w:val="0"/>
        </w:rPr>
        <w:t xml:space="preserve">c</w:t>
      </w:r>
      <w:r w:rsidDel="00000000" w:rsidR="00000000" w:rsidRPr="00000000">
        <w:rPr>
          <w:rFonts w:ascii="Arial" w:cs="Arial" w:eastAsia="Arial" w:hAnsi="Arial"/>
          <w:b w:val="0"/>
          <w:i w:val="1"/>
          <w:sz w:val="22"/>
          <w:szCs w:val="22"/>
          <w:vertAlign w:val="baseline"/>
          <w:rtl w:val="0"/>
        </w:rPr>
        <w:t xml:space="preserve">.    Solicitar a la Administración que de ahora en adelante presente los informes de ejecución de plazas a la Comisión de Planificación y Administración con el siguiente detalle:  1) Número de programa al que están asignados, 2) Número de plaza, 3) Código de plaza, 4) Puesto, 5) Categoría, 6) Meses, 7) Jornada, 8) Porcentaje de asignación y 9) La justificación de la no utilización total o parcial.</w:t>
      </w:r>
      <w:r w:rsidDel="00000000" w:rsidR="00000000" w:rsidRPr="00000000">
        <w:rPr>
          <w:rtl w:val="0"/>
        </w:rPr>
      </w:r>
    </w:p>
    <w:p w:rsidR="00000000" w:rsidDel="00000000" w:rsidP="00000000" w:rsidRDefault="00000000" w:rsidRPr="00000000">
      <w:pPr>
        <w:spacing w:after="0" w:before="0" w:line="240" w:lineRule="auto"/>
        <w:ind w:left="910" w:hanging="477"/>
        <w:contextualSpacing w:val="0"/>
        <w:jc w:val="both"/>
      </w:pPr>
      <w:r w:rsidDel="00000000" w:rsidR="00000000" w:rsidRPr="00000000">
        <w:rPr>
          <w:rtl w:val="0"/>
        </w:rPr>
      </w:r>
    </w:p>
    <w:p w:rsidR="00000000" w:rsidDel="00000000" w:rsidP="00000000" w:rsidRDefault="00000000" w:rsidRPr="00000000">
      <w:pPr>
        <w:spacing w:after="0" w:before="0" w:line="240" w:lineRule="auto"/>
        <w:ind w:left="800" w:firstLine="0"/>
        <w:contextualSpacing w:val="0"/>
        <w:jc w:val="both"/>
      </w:pPr>
      <w:r w:rsidDel="00000000" w:rsidR="00000000" w:rsidRPr="00000000">
        <w:rPr>
          <w:rFonts w:ascii="Arial" w:cs="Arial" w:eastAsia="Arial" w:hAnsi="Arial"/>
          <w:b w:val="0"/>
          <w:i w:val="1"/>
          <w:sz w:val="22"/>
          <w:szCs w:val="22"/>
          <w:vertAlign w:val="baseline"/>
          <w:rtl w:val="0"/>
        </w:rPr>
        <w:t xml:space="preserve">Las fechas relacionadas con estos informes son las siguientes:</w:t>
      </w:r>
      <w:r w:rsidDel="00000000" w:rsidR="00000000" w:rsidRPr="00000000">
        <w:rPr>
          <w:rtl w:val="0"/>
        </w:rPr>
      </w:r>
    </w:p>
    <w:p w:rsidR="00000000" w:rsidDel="00000000" w:rsidP="00000000" w:rsidRDefault="00000000" w:rsidRPr="00000000">
      <w:pPr>
        <w:spacing w:after="0" w:before="0" w:line="240" w:lineRule="auto"/>
        <w:ind w:left="500" w:firstLine="0"/>
        <w:contextualSpacing w:val="0"/>
        <w:jc w:val="both"/>
      </w:pPr>
      <w:r w:rsidDel="00000000" w:rsidR="00000000" w:rsidRPr="00000000">
        <w:rPr>
          <w:rtl w:val="0"/>
        </w:rPr>
      </w:r>
    </w:p>
    <w:tbl>
      <w:tblPr>
        <w:tblStyle w:val="Table2"/>
        <w:bidi w:val="0"/>
        <w:tblW w:w="7829.000000000001" w:type="dxa"/>
        <w:jc w:val="left"/>
        <w:tblInd w:w="8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2410"/>
        <w:gridCol w:w="3576"/>
        <w:tblGridChange w:id="0">
          <w:tblGrid>
            <w:gridCol w:w="1843"/>
            <w:gridCol w:w="2410"/>
            <w:gridCol w:w="3576"/>
          </w:tblGrid>
        </w:tblGridChange>
      </w:tblGrid>
      <w:tr>
        <w:tc>
          <w:tcPr>
            <w:tcBorders>
              <w:left w:color="000000" w:space="0" w:sz="0" w:val="nil"/>
              <w:right w:color="000000" w:space="0" w:sz="0" w:val="nil"/>
            </w:tcBorders>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1"/>
                <w:i w:val="1"/>
                <w:sz w:val="22"/>
                <w:szCs w:val="22"/>
                <w:vertAlign w:val="baseline"/>
                <w:rtl w:val="0"/>
              </w:rPr>
              <w:t xml:space="preserve">Número de Informe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1"/>
                <w:i w:val="1"/>
                <w:sz w:val="22"/>
                <w:szCs w:val="22"/>
                <w:vertAlign w:val="baseline"/>
                <w:rtl w:val="0"/>
              </w:rPr>
              <w:t xml:space="preserve">Fecha de corte para informe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1"/>
                <w:i w:val="1"/>
                <w:sz w:val="22"/>
                <w:szCs w:val="22"/>
                <w:vertAlign w:val="baseline"/>
                <w:rtl w:val="0"/>
              </w:rPr>
              <w:t xml:space="preserve">Fecha de entrega</w:t>
            </w:r>
            <w:r w:rsidDel="00000000" w:rsidR="00000000" w:rsidRPr="00000000">
              <w:rPr>
                <w:rtl w:val="0"/>
              </w:rPr>
            </w:r>
          </w:p>
        </w:tc>
      </w:tr>
      <w:tr>
        <w:tc>
          <w:tcPr>
            <w:tcBorders>
              <w:left w:color="000000" w:space="0" w:sz="0" w:val="nil"/>
              <w:bottom w:color="000000" w:space="0" w:sz="0" w:val="nil"/>
              <w:right w:color="000000" w:space="0" w:sz="0" w:val="nil"/>
            </w:tcBorders>
            <w:shd w:fill="f2f2f2"/>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shd w:fill="f2f2f2"/>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30 de abril</w:t>
            </w:r>
            <w:r w:rsidDel="00000000" w:rsidR="00000000" w:rsidRPr="00000000">
              <w:rPr>
                <w:rtl w:val="0"/>
              </w:rPr>
            </w:r>
          </w:p>
        </w:tc>
        <w:tc>
          <w:tcPr>
            <w:tcBorders>
              <w:left w:color="000000" w:space="0" w:sz="0" w:val="nil"/>
              <w:bottom w:color="000000" w:space="0" w:sz="0" w:val="nil"/>
              <w:right w:color="000000" w:space="0" w:sz="0" w:val="nil"/>
            </w:tcBorders>
            <w:shd w:fill="f2f2f2"/>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mayo</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15 de julio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agosto</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30 de setiembre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octubre</w:t>
            </w:r>
            <w:r w:rsidDel="00000000" w:rsidR="00000000" w:rsidRPr="00000000">
              <w:rPr>
                <w:rtl w:val="0"/>
              </w:rPr>
            </w:r>
          </w:p>
        </w:tc>
      </w:tr>
      <w:tr>
        <w:tc>
          <w:tcPr>
            <w:tcBorders>
              <w:top w:color="000000" w:space="0" w:sz="0" w:val="nil"/>
              <w:left w:color="000000" w:space="0" w:sz="0" w:val="nil"/>
              <w:right w:color="000000" w:space="0" w:sz="0" w:val="nil"/>
            </w:tcBorders>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4</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31 de diciembre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spacing w:after="0" w:before="0" w:line="240" w:lineRule="auto"/>
              <w:ind w:left="500" w:firstLine="0"/>
              <w:contextualSpacing w:val="0"/>
              <w:jc w:val="center"/>
            </w:pPr>
            <w:r w:rsidDel="00000000" w:rsidR="00000000" w:rsidRPr="00000000">
              <w:rPr>
                <w:rFonts w:ascii="Arial" w:cs="Arial" w:eastAsia="Arial" w:hAnsi="Arial"/>
                <w:b w:val="0"/>
                <w:i w:val="1"/>
                <w:sz w:val="22"/>
                <w:szCs w:val="22"/>
                <w:vertAlign w:val="baseline"/>
                <w:rtl w:val="0"/>
              </w:rPr>
              <w:t xml:space="preserve">Con la liquidación presupuestaria</w:t>
            </w:r>
            <w:r w:rsidDel="00000000" w:rsidR="00000000" w:rsidRPr="00000000">
              <w:rPr>
                <w:rtl w:val="0"/>
              </w:rPr>
            </w:r>
          </w:p>
        </w:tc>
      </w:tr>
    </w:tbl>
    <w:p w:rsidR="00000000" w:rsidDel="00000000" w:rsidP="00000000" w:rsidRDefault="00000000" w:rsidRPr="00000000">
      <w:pPr>
        <w:numPr>
          <w:ilvl w:val="0"/>
          <w:numId w:val="2"/>
        </w:numPr>
        <w:ind w:left="500" w:right="51" w:hanging="5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396-2011, realizada el 11 de marzo del 2011, recibió el  oficio VAD-028-2011, con fecha 02 de febrero del 2011, suscrito por el MAE. Jorge Mena Calderón, Vicerrector de Administración, dirigido a la BQ. Grettel Castro Portuguez, Coordinadora Comisión de Planificación y Administración, en el cual en atención al acuerdo tomado por el Consejo Institucional en la Sesión No. 2684, Artículo 8, del 14 de octubre del 2010, se permite adjuntar el oficio RH-101-2011, referente al informe de Ejecución de Plazas al 31 de diciembre del 2010.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500" w:right="51" w:hanging="5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misma reunión la Comisión analizó la información contenida en el oficio detallado en el inciso anterior respecto del informe de  Ejecución de Plazas al 31 de diciembre del 2010 y concluyó que no cumple con lo estipulado en el inciso c. del acuerdo de la Sesión No. 2684, Artículo 8, respecto a la forma en que la Comisión requiere de la información para contar con datos que permitan un análisis más expedito y una adecuada toma de decisiones. Mediante oficio SCI-171-2011, reitera la solicitud a la Administración de cumplir con el acuerdo citado, además adjunta un formato para la remisión de la información, que al menos deba contener la IV parte del Informe:  Ejecución de plazas, tanto para éste informe, como para los próximos informes de la ejecución de plazas.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500" w:right="51" w:hanging="5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403-2011, celebrada el 15 de abril de 2011, encontró que no había ingresado la información  referente al informe de Ejecución de Plazas al 31 de diciembre del 2010, solicitada en el oficio SCI-171-2011, con fecha 11 de marzo  del 2011,  y en virtud de que en el mencionado oficio se solicitó que la entrega de la documentación fuera remitida lo más pronto posible, en procura de que no se juntara con la entrega del Informe de Ejecución de Plazas correspondiente al primer trimestre de este año,  se le insiste a la Administración responder de forma expedita, con el fin de que la Comisión pueda concluir con el análisis correspondiente.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500" w:right="51" w:hanging="5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RH-479-2011 con fecha 27 de abril del 2011, suscrita la Dra. Hannia Rodríguez M., Directora del Departamento de Recursos Humanos, dirigida al MAE. Marcel Hernández, Director de la Oficina de Planificación Institucional, con copia a la BQ. Grettel Castro Portuguez, Coordinadora de la Comisión de Planificación y Administración, en la cual en atención a lo solicitado en oficio SCI-171-2011, adjunta el complemento al Informe de Ejecución de Plazas al 31 de diciembre de 2010.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500" w:right="51" w:hanging="5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en la reunión No. 405-2011, realizada el lunes 02 de mayo analiza el Informe de Ejecución de Plazas al 31 de diciembre y encuentra que hubo plazas aprobadas que se usaron menos del 80% o que no se usaron del todo, como se muestra en el siguiente cuadro: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tbl>
      <w:tblPr>
        <w:tblStyle w:val="Table3"/>
        <w:bidi w:val="0"/>
        <w:tblW w:w="5743.0" w:type="dxa"/>
        <w:jc w:val="left"/>
        <w:tblInd w:w="8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6"/>
        <w:gridCol w:w="3543"/>
        <w:gridCol w:w="1134"/>
        <w:tblGridChange w:id="0">
          <w:tblGrid>
            <w:gridCol w:w="1066"/>
            <w:gridCol w:w="3543"/>
            <w:gridCol w:w="1134"/>
          </w:tblGrid>
        </w:tblGridChange>
      </w:tblGrid>
      <w:tr>
        <w:trPr>
          <w:trHeight w:val="540" w:hRule="atLeast"/>
        </w:trPr>
        <w:tc>
          <w:tcPr>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Plaza</w:t>
            </w:r>
            <w:r w:rsidDel="00000000" w:rsidR="00000000" w:rsidRPr="00000000">
              <w:rPr>
                <w:rtl w:val="0"/>
              </w:rPr>
            </w:r>
          </w:p>
        </w:tc>
        <w:tc>
          <w:tcPr>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Nombre del Puesto</w:t>
            </w:r>
            <w:r w:rsidDel="00000000" w:rsidR="00000000" w:rsidRPr="00000000">
              <w:rPr>
                <w:rtl w:val="0"/>
              </w:rPr>
            </w:r>
          </w:p>
        </w:tc>
        <w:tc>
          <w:tcPr>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Porcentaje de Ejecución</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CT0070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0%</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CT0069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0%</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FS0046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0%</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FS0034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CT0071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SE010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Chofer</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32%</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SE019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33%</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SE014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33%</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FS0042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Profesional en Tecnol. Inform. y Comunic</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37%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FS0049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41%</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CF2609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44%</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CT0062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Téc(a) en Soporte Computac</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46%</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CFT008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FSA004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Operario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FS0030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52%</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FS0023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52%</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CF2389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Asesor Legal</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61%</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FS0045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62%</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FS0006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62%</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CT0066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62%</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FS0033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62%</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FSA010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Técnico(a) en Administración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63%</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CFT011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64%</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CT0063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Técnico(a) en Administración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64%</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64%</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CT0067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64%</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FS0001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65%</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FS0009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CT0028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CF2606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CF2607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68%</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FSA007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69%</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CF2605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69%</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FS0044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70%</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CT0056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70%</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SE015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71%</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CT0027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74%</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CT0057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75%</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CF2603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76%</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FS0031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76%</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CF2604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FS0027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FS0008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CT0039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CF2608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77%</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CF2315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Conserje</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78%</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CTA005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78%</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FS0032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78%</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SE032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Asistente de Administración 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78%</w:t>
            </w:r>
            <w:r w:rsidDel="00000000" w:rsidR="00000000" w:rsidRPr="00000000">
              <w:rPr>
                <w:rtl w:val="0"/>
              </w:rPr>
            </w:r>
          </w:p>
        </w:tc>
      </w:tr>
      <w:tr>
        <w:trPr>
          <w:trHeight w:val="18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CFT012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80%</w:t>
            </w:r>
            <w:r w:rsidDel="00000000" w:rsidR="00000000" w:rsidRPr="00000000">
              <w:rPr>
                <w:rtl w:val="0"/>
              </w:rPr>
            </w:r>
          </w:p>
        </w:tc>
      </w:tr>
    </w:tbl>
    <w:p w:rsidR="00000000" w:rsidDel="00000000" w:rsidP="00000000" w:rsidRDefault="00000000" w:rsidRPr="00000000">
      <w:pPr>
        <w:ind w:left="500" w:right="51" w:firstLine="0"/>
        <w:contextualSpacing w:val="0"/>
        <w:jc w:val="both"/>
      </w:pPr>
      <w:r w:rsidDel="00000000" w:rsidR="00000000" w:rsidRPr="00000000">
        <w:rPr>
          <w:rtl w:val="0"/>
        </w:rPr>
      </w:r>
    </w:p>
    <w:p w:rsidR="00000000" w:rsidDel="00000000" w:rsidP="00000000" w:rsidRDefault="00000000" w:rsidRPr="00000000">
      <w:pPr>
        <w:ind w:left="500" w:right="51" w:firstLine="0"/>
        <w:contextualSpacing w:val="0"/>
        <w:jc w:val="both"/>
      </w:pPr>
      <w:r w:rsidDel="00000000" w:rsidR="00000000" w:rsidRPr="00000000">
        <w:rPr>
          <w:rFonts w:ascii="Arial" w:cs="Arial" w:eastAsia="Arial" w:hAnsi="Arial"/>
          <w:vertAlign w:val="baseline"/>
          <w:rtl w:val="0"/>
        </w:rPr>
        <w:t xml:space="preserve">En todas se presenta justificación de la no ocupación o de la ocupación parcial, sin embargo, puede planificarse mejor o llevar a cabo acciones que mejoren la gestión de los procesos. Además se evidencia en el informe que incluso hubo plazas que fueron modificadas obviando que cuando se da la aprobación en el Consejo Institucional se analizan y valoran las justificaciones y su vinculación con la planificación.</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bookmarkStart w:colFirst="0" w:colLast="0" w:name="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ind w:left="300" w:hanging="360"/>
        <w:jc w:val="both"/>
        <w:rPr/>
      </w:pPr>
      <w:r w:rsidDel="00000000" w:rsidR="00000000" w:rsidRPr="00000000">
        <w:rPr>
          <w:rFonts w:ascii="Arial" w:cs="Arial" w:eastAsia="Arial" w:hAnsi="Arial"/>
          <w:vertAlign w:val="baseline"/>
          <w:rtl w:val="0"/>
        </w:rPr>
        <w:t xml:space="preserve">Dar por conocido el Informe de Ejecución de Plazas 2010.</w:t>
      </w:r>
      <w:r w:rsidDel="00000000" w:rsidR="00000000" w:rsidRPr="00000000">
        <w:rPr>
          <w:rtl w:val="0"/>
        </w:rPr>
      </w:r>
    </w:p>
    <w:p w:rsidR="00000000" w:rsidDel="00000000" w:rsidP="00000000" w:rsidRDefault="00000000" w:rsidRPr="00000000">
      <w:pPr>
        <w:widowControl w:val="0"/>
        <w:ind w:left="30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
        </w:numPr>
        <w:ind w:left="300" w:hanging="360"/>
        <w:jc w:val="both"/>
        <w:rPr/>
      </w:pPr>
      <w:r w:rsidDel="00000000" w:rsidR="00000000" w:rsidRPr="00000000">
        <w:rPr>
          <w:rFonts w:ascii="Arial" w:cs="Arial" w:eastAsia="Arial" w:hAnsi="Arial"/>
          <w:vertAlign w:val="baseline"/>
          <w:rtl w:val="0"/>
        </w:rPr>
        <w:t xml:space="preserve">Solicitar a la Administración mejorar el proceso de planificación de la creación y renovación de plazas y llevar a cabo acciones que mejoren la gestión de estos procesos.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widowControl w:val="0"/>
        <w:numPr>
          <w:ilvl w:val="0"/>
          <w:numId w:val="1"/>
        </w:numPr>
        <w:ind w:left="300" w:hanging="360"/>
        <w:jc w:val="both"/>
        <w:rPr/>
      </w:pPr>
      <w:r w:rsidDel="00000000" w:rsidR="00000000" w:rsidRPr="00000000">
        <w:rPr>
          <w:rFonts w:ascii="Arial" w:cs="Arial" w:eastAsia="Arial" w:hAnsi="Arial"/>
          <w:vertAlign w:val="baseline"/>
          <w:rtl w:val="0"/>
        </w:rPr>
        <w:t xml:space="preserve">Recordar a la Administración que: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widowControl w:val="0"/>
        <w:numPr>
          <w:ilvl w:val="1"/>
          <w:numId w:val="1"/>
        </w:numPr>
        <w:ind w:left="660" w:hanging="360"/>
        <w:jc w:val="both"/>
        <w:rPr>
          <w:rFonts w:ascii="Arial" w:cs="Arial" w:eastAsia="Arial" w:hAnsi="Arial"/>
        </w:rPr>
      </w:pPr>
      <w:r w:rsidDel="00000000" w:rsidR="00000000" w:rsidRPr="00000000">
        <w:rPr>
          <w:rFonts w:ascii="Arial" w:cs="Arial" w:eastAsia="Arial" w:hAnsi="Arial"/>
          <w:vertAlign w:val="baseline"/>
          <w:rtl w:val="0"/>
        </w:rPr>
        <w:t xml:space="preserve">Las propuestas de creación y renovación de plazas debe ser lo más ajustado posible a las necesidades reales de la Institución.</w:t>
      </w:r>
      <w:r w:rsidDel="00000000" w:rsidR="00000000" w:rsidRPr="00000000">
        <w:rPr>
          <w:rtl w:val="0"/>
        </w:rPr>
      </w:r>
    </w:p>
    <w:p w:rsidR="00000000" w:rsidDel="00000000" w:rsidP="00000000" w:rsidRDefault="00000000" w:rsidRPr="00000000">
      <w:pPr>
        <w:widowControl w:val="0"/>
        <w:ind w:left="660" w:firstLine="0"/>
        <w:contextualSpacing w:val="0"/>
        <w:jc w:val="both"/>
      </w:pPr>
      <w:r w:rsidDel="00000000" w:rsidR="00000000" w:rsidRPr="00000000">
        <w:rPr>
          <w:rtl w:val="0"/>
        </w:rPr>
      </w:r>
    </w:p>
    <w:p w:rsidR="00000000" w:rsidDel="00000000" w:rsidP="00000000" w:rsidRDefault="00000000" w:rsidRPr="00000000">
      <w:pPr>
        <w:widowControl w:val="0"/>
        <w:numPr>
          <w:ilvl w:val="1"/>
          <w:numId w:val="1"/>
        </w:numPr>
        <w:ind w:left="660" w:hanging="360"/>
        <w:jc w:val="both"/>
        <w:rPr>
          <w:rFonts w:ascii="Arial" w:cs="Arial" w:eastAsia="Arial" w:hAnsi="Arial"/>
        </w:rPr>
      </w:pPr>
      <w:r w:rsidDel="00000000" w:rsidR="00000000" w:rsidRPr="00000000">
        <w:rPr>
          <w:rFonts w:ascii="Arial" w:cs="Arial" w:eastAsia="Arial" w:hAnsi="Arial"/>
          <w:vertAlign w:val="baseline"/>
          <w:rtl w:val="0"/>
        </w:rPr>
        <w:t xml:space="preserve">La modificación de cualquiera de las condiciones con las que se crean o renuevan plazas sólo puede hacerse por parte del Consejo Institucional.</w:t>
      </w:r>
      <w:r w:rsidDel="00000000" w:rsidR="00000000" w:rsidRPr="00000000">
        <w:rPr>
          <w:rtl w:val="0"/>
        </w:rPr>
      </w:r>
    </w:p>
    <w:p w:rsidR="00000000" w:rsidDel="00000000" w:rsidP="00000000" w:rsidRDefault="00000000" w:rsidRPr="00000000">
      <w:pPr>
        <w:widowControl w:val="0"/>
        <w:ind w:left="567"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
        </w:numPr>
        <w:ind w:left="567" w:hanging="425"/>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tbl>
      <w:tblPr>
        <w:tblStyle w:val="Table4"/>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del Centro Académico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right="567"/>
        <w:contextualSpacing w:val="0"/>
        <w:jc w:val="both"/>
      </w:pPr>
      <w:r w:rsidDel="00000000" w:rsidR="00000000" w:rsidRPr="00000000">
        <w:rPr>
          <w:rtl w:val="0"/>
        </w:rPr>
      </w:r>
    </w:p>
    <w:sectPr>
      <w:headerReference r:id="rId5" w:type="default"/>
      <w:headerReference r:id="rId6" w:type="first"/>
      <w:pgSz w:h="15840" w:w="12240"/>
      <w:pgMar w:bottom="851" w:top="2126"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2711, Artículo 15,  del 05 de mayo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664210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decimal"/>
      <w:lvlText w:val="%2."/>
      <w:lvlJc w:val="left"/>
      <w:pPr>
        <w:ind w:left="1440" w:firstLine="1080"/>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46" w:firstLine="385.99999999999994"/>
      </w:pPr>
      <w:rPr>
        <w:b w:val="1"/>
        <w:vertAlign w:val="baseline"/>
      </w:rPr>
    </w:lvl>
    <w:lvl w:ilvl="1">
      <w:start w:val="1"/>
      <w:numFmt w:val="lowerLetter"/>
      <w:lvlText w:val="%2."/>
      <w:lvlJc w:val="left"/>
      <w:pPr>
        <w:ind w:left="1466" w:firstLine="1106"/>
      </w:pPr>
      <w:rPr>
        <w:vertAlign w:val="baseline"/>
      </w:rPr>
    </w:lvl>
    <w:lvl w:ilvl="2">
      <w:start w:val="1"/>
      <w:numFmt w:val="lowerRoman"/>
      <w:lvlText w:val="%3."/>
      <w:lvlJc w:val="right"/>
      <w:pPr>
        <w:ind w:left="2186" w:firstLine="2006"/>
      </w:pPr>
      <w:rPr>
        <w:vertAlign w:val="baseline"/>
      </w:rPr>
    </w:lvl>
    <w:lvl w:ilvl="3">
      <w:start w:val="1"/>
      <w:numFmt w:val="decimal"/>
      <w:lvlText w:val="%4."/>
      <w:lvlJc w:val="left"/>
      <w:pPr>
        <w:ind w:left="2906" w:firstLine="2546"/>
      </w:pPr>
      <w:rPr>
        <w:vertAlign w:val="baseline"/>
      </w:rPr>
    </w:lvl>
    <w:lvl w:ilvl="4">
      <w:start w:val="1"/>
      <w:numFmt w:val="lowerLetter"/>
      <w:lvlText w:val="%5."/>
      <w:lvlJc w:val="left"/>
      <w:pPr>
        <w:ind w:left="3626" w:firstLine="3266"/>
      </w:pPr>
      <w:rPr>
        <w:vertAlign w:val="baseline"/>
      </w:rPr>
    </w:lvl>
    <w:lvl w:ilvl="5">
      <w:start w:val="1"/>
      <w:numFmt w:val="lowerRoman"/>
      <w:lvlText w:val="%6."/>
      <w:lvlJc w:val="right"/>
      <w:pPr>
        <w:ind w:left="4346" w:firstLine="4166"/>
      </w:pPr>
      <w:rPr>
        <w:vertAlign w:val="baseline"/>
      </w:rPr>
    </w:lvl>
    <w:lvl w:ilvl="6">
      <w:start w:val="1"/>
      <w:numFmt w:val="decimal"/>
      <w:lvlText w:val="%7."/>
      <w:lvlJc w:val="left"/>
      <w:pPr>
        <w:ind w:left="5066" w:firstLine="4706"/>
      </w:pPr>
      <w:rPr>
        <w:vertAlign w:val="baseline"/>
      </w:rPr>
    </w:lvl>
    <w:lvl w:ilvl="7">
      <w:start w:val="1"/>
      <w:numFmt w:val="lowerLetter"/>
      <w:lvlText w:val="%8."/>
      <w:lvlJc w:val="left"/>
      <w:pPr>
        <w:ind w:left="5786" w:firstLine="5426"/>
      </w:pPr>
      <w:rPr>
        <w:vertAlign w:val="baseline"/>
      </w:rPr>
    </w:lvl>
    <w:lvl w:ilvl="8">
      <w:start w:val="1"/>
      <w:numFmt w:val="lowerRoman"/>
      <w:lvlText w:val="%9."/>
      <w:lvlJc w:val="right"/>
      <w:pPr>
        <w:ind w:left="6506" w:firstLine="6326"/>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