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bookmarkStart w:colFirst="0" w:colLast="0" w:name="_gjdgxs" w:id="0"/>
      <w:bookmarkEnd w:id="0"/>
      <w:r w:rsidDel="00000000" w:rsidR="00000000" w:rsidRPr="00000000">
        <w:rPr>
          <w:rFonts w:ascii="Arial" w:cs="Arial" w:eastAsia="Arial" w:hAnsi="Arial"/>
          <w:b w:val="1"/>
          <w:sz w:val="26"/>
          <w:szCs w:val="26"/>
          <w:rtl w:val="0"/>
        </w:rPr>
        <w:t xml:space="preserve">SCI-0004BM-2015</w:t>
        <w:tab/>
        <w:tab/>
        <w:tab/>
        <w:tab/>
        <w:tab/>
        <w:tab/>
      </w:r>
      <w:r w:rsidDel="00000000" w:rsidR="00000000" w:rsidRPr="00000000">
        <w:rPr>
          <w:rFonts w:ascii="Arial" w:cs="Arial" w:eastAsia="Arial" w:hAnsi="Arial"/>
          <w:b w:val="1"/>
          <w:sz w:val="40"/>
          <w:szCs w:val="40"/>
          <w:rtl w:val="0"/>
        </w:rPr>
        <w:t xml:space="preserve">Confidencial</w:t>
      </w:r>
    </w:p>
    <w:p w:rsidR="00000000" w:rsidDel="00000000" w:rsidP="00000000" w:rsidRDefault="00000000" w:rsidRPr="00000000">
      <w:pPr>
        <w:contextualSpacing w:val="0"/>
      </w:pPr>
      <w:r w:rsidDel="00000000" w:rsidR="00000000" w:rsidRPr="00000000">
        <w:rPr>
          <w:rFonts w:ascii="Arial" w:cs="Arial" w:eastAsia="Arial" w:hAnsi="Arial"/>
          <w:b w:val="1"/>
          <w:sz w:val="26"/>
          <w:szCs w:val="26"/>
          <w:rtl w:val="0"/>
        </w:rPr>
        <w:tab/>
      </w:r>
    </w:p>
    <w:p w:rsidR="00000000" w:rsidDel="00000000" w:rsidP="00000000" w:rsidRDefault="00000000" w:rsidRPr="00000000">
      <w:pPr>
        <w:contextualSpacing w:val="0"/>
      </w:pPr>
      <w:r w:rsidDel="00000000" w:rsidR="00000000" w:rsidRPr="00000000">
        <w:rPr>
          <w:rFonts w:ascii="Arial" w:cs="Arial" w:eastAsia="Arial" w:hAnsi="Arial"/>
          <w:b w:val="1"/>
          <w:sz w:val="40"/>
          <w:szCs w:val="40"/>
          <w:rtl w:val="0"/>
        </w:rPr>
        <w:t xml:space="preserve">Comunicación de acuerdo </w:t>
      </w:r>
    </w:p>
    <w:p w:rsidR="00000000" w:rsidDel="00000000" w:rsidP="00000000" w:rsidRDefault="00000000" w:rsidRPr="00000000">
      <w:pPr>
        <w:contextualSpacing w:val="0"/>
      </w:pPr>
      <w:r w:rsidDel="00000000" w:rsidR="00000000" w:rsidRPr="00000000">
        <w:rPr>
          <w:rFonts w:ascii="Arial" w:cs="Arial" w:eastAsia="Arial" w:hAnsi="Arial"/>
          <w:b w:val="1"/>
          <w:sz w:val="40"/>
          <w:szCs w:val="40"/>
          <w:rtl w:val="0"/>
        </w:rPr>
        <w:tab/>
        <w:tab/>
        <w:tab/>
        <w:tab/>
        <w:tab/>
        <w:tab/>
        <w:tab/>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bl>
      <w:tblPr>
        <w:tblStyle w:val="Table1"/>
        <w:bidi w:val="0"/>
        <w:tblW w:w="9781.0" w:type="dxa"/>
        <w:jc w:val="left"/>
        <w:tblInd w:w="-6.999999999999993" w:type="dxa"/>
        <w:tblLayout w:type="fixed"/>
        <w:tblLook w:val="0000"/>
      </w:tblPr>
      <w:tblGrid>
        <w:gridCol w:w="1123"/>
        <w:gridCol w:w="11"/>
        <w:gridCol w:w="8647"/>
        <w:tblGridChange w:id="0">
          <w:tblGrid>
            <w:gridCol w:w="1123"/>
            <w:gridCol w:w="11"/>
            <w:gridCol w:w="8647"/>
          </w:tblGrid>
        </w:tblGridChange>
      </w:tblGrid>
      <w:tr>
        <w:tc>
          <w:tcPr>
            <w:gridSpan w:val="2"/>
          </w:tcPr>
          <w:p w:rsidR="00000000" w:rsidDel="00000000" w:rsidP="00000000" w:rsidRDefault="00000000" w:rsidRPr="00000000">
            <w:pPr>
              <w:tabs>
                <w:tab w:val="right" w:pos="2100"/>
                <w:tab w:val="left" w:pos="2694"/>
              </w:tabs>
              <w:contextualSpacing w:val="0"/>
            </w:pPr>
            <w:r w:rsidDel="00000000" w:rsidR="00000000" w:rsidRPr="00000000">
              <w:rPr>
                <w:rFonts w:ascii="Arial" w:cs="Arial" w:eastAsia="Arial" w:hAnsi="Arial"/>
                <w:b w:val="1"/>
                <w:sz w:val="24"/>
                <w:szCs w:val="24"/>
                <w:rtl w:val="0"/>
              </w:rPr>
              <w:t xml:space="preserve">Para:</w:t>
            </w:r>
          </w:p>
        </w:tc>
        <w:tc>
          <w:tcPr/>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Dr. Julio C. Calvo A, Rector </w:t>
            </w:r>
          </w:p>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Ing. Luis Paulino Méndez, Coordinador del PMI-ITCR</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2"/>
                <w:szCs w:val="22"/>
                <w:rtl w:val="0"/>
              </w:rPr>
              <w:t xml:space="preserve">Licda.  Evelyn Bonilla Cervantes, Coordinadora Comisión</w:t>
            </w:r>
            <w:r w:rsidDel="00000000" w:rsidR="00000000" w:rsidRPr="00000000">
              <w:rPr>
                <w:rFonts w:ascii="Arial" w:cs="Arial" w:eastAsia="Arial" w:hAnsi="Arial"/>
                <w:sz w:val="24"/>
                <w:szCs w:val="24"/>
                <w:rtl w:val="0"/>
              </w:rPr>
              <w:t xml:space="preserve"> Evaluadora</w:t>
            </w:r>
          </w:p>
          <w:p w:rsidR="00000000" w:rsidDel="00000000" w:rsidP="00000000" w:rsidRDefault="00000000" w:rsidRPr="00000000">
            <w:pPr>
              <w:ind w:left="45" w:firstLine="0"/>
              <w:contextualSpacing w:val="0"/>
              <w:jc w:val="both"/>
            </w:pPr>
            <w:r w:rsidDel="00000000" w:rsidR="00000000" w:rsidRPr="00000000">
              <w:rPr>
                <w:rtl w:val="0"/>
              </w:rPr>
            </w:r>
          </w:p>
        </w:tc>
      </w:tr>
      <w:tr>
        <w:tc>
          <w:tcPr>
            <w:gridSpan w:val="2"/>
          </w:tcPr>
          <w:p w:rsidR="00000000" w:rsidDel="00000000" w:rsidP="00000000" w:rsidRDefault="00000000" w:rsidRPr="00000000">
            <w:pPr>
              <w:contextualSpacing w:val="0"/>
            </w:pPr>
            <w:r w:rsidDel="00000000" w:rsidR="00000000" w:rsidRPr="00000000">
              <w:rPr>
                <w:rFonts w:ascii="Arial" w:cs="Arial" w:eastAsia="Arial" w:hAnsi="Arial"/>
                <w:b w:val="1"/>
                <w:sz w:val="24"/>
                <w:szCs w:val="24"/>
                <w:rtl w:val="0"/>
              </w:rPr>
              <w:t xml:space="preserve">De: </w:t>
            </w:r>
          </w:p>
        </w:tc>
        <w:tc>
          <w:tcPr/>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2"/>
                <w:szCs w:val="22"/>
                <w:rtl w:val="0"/>
              </w:rPr>
              <w:t xml:space="preserve">Licda. Bertalía Sánchez Salas, Directora Ejecutiva </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2"/>
                <w:szCs w:val="22"/>
                <w:rtl w:val="0"/>
              </w:rPr>
              <w:t xml:space="preserve">Secretaría del Consejo Institucional</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2"/>
                <w:szCs w:val="22"/>
                <w:rtl w:val="0"/>
              </w:rPr>
              <w:t xml:space="preserve">Instituto Tecnológico de Costa Rica </w:t>
            </w:r>
          </w:p>
        </w:tc>
      </w:tr>
      <w:tr>
        <w:trPr>
          <w:trHeight w:val="320" w:hRule="atLeast"/>
        </w:trPr>
        <w:tc>
          <w:tcPr>
            <w:gridSpan w:val="2"/>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4"/>
                <w:szCs w:val="24"/>
                <w:rtl w:val="0"/>
              </w:rPr>
              <w:t xml:space="preserve">Fecha:</w:t>
            </w:r>
          </w:p>
        </w:tc>
        <w:tc>
          <w:tcPr/>
          <w:p w:rsidR="00000000" w:rsidDel="00000000" w:rsidP="00000000" w:rsidRDefault="00000000" w:rsidRPr="00000000">
            <w:pPr>
              <w:tabs>
                <w:tab w:val="right" w:pos="2410"/>
                <w:tab w:val="left" w:pos="2694"/>
              </w:tabs>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b w:val="1"/>
                <w:sz w:val="24"/>
                <w:szCs w:val="24"/>
                <w:rtl w:val="0"/>
              </w:rPr>
              <w:t xml:space="preserve">13 de julio de 2015</w:t>
            </w:r>
          </w:p>
        </w:tc>
      </w:tr>
      <w:tr>
        <w:trPr>
          <w:trHeight w:val="280" w:hRule="atLeast"/>
        </w:trPr>
        <w:tc>
          <w:tcPr>
            <w:gridSpan w:val="2"/>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rPr>
          <w:trHeight w:val="320" w:hRule="atLeast"/>
        </w:trPr>
        <w:tc>
          <w:tcPr/>
          <w:p w:rsidR="00000000" w:rsidDel="00000000" w:rsidP="00000000" w:rsidRDefault="00000000" w:rsidRPr="00000000">
            <w:pPr>
              <w:contextualSpacing w:val="0"/>
            </w:pPr>
            <w:r w:rsidDel="00000000" w:rsidR="00000000" w:rsidRPr="00000000">
              <w:rPr>
                <w:rFonts w:ascii="Arial" w:cs="Arial" w:eastAsia="Arial" w:hAnsi="Arial"/>
                <w:b w:val="1"/>
                <w:sz w:val="22"/>
                <w:szCs w:val="22"/>
                <w:rtl w:val="0"/>
              </w:rPr>
              <w:t xml:space="preserve">Asunto:</w:t>
            </w:r>
          </w:p>
        </w:tc>
        <w:tc>
          <w:tcPr>
            <w:gridSpan w:val="2"/>
          </w:tcPr>
          <w:p w:rsidR="00000000" w:rsidDel="00000000" w:rsidP="00000000" w:rsidRDefault="00000000" w:rsidRPr="00000000">
            <w:pPr>
              <w:ind w:left="45" w:hanging="45"/>
              <w:contextualSpacing w:val="0"/>
              <w:jc w:val="both"/>
            </w:pPr>
            <w:r w:rsidDel="00000000" w:rsidR="00000000" w:rsidRPr="00000000">
              <w:rPr>
                <w:rFonts w:ascii="Arial" w:cs="Arial" w:eastAsia="Arial" w:hAnsi="Arial"/>
                <w:b w:val="1"/>
                <w:sz w:val="24"/>
                <w:szCs w:val="24"/>
                <w:rtl w:val="0"/>
              </w:rPr>
              <w:t xml:space="preserve">Sesión Extraordinaria No. 2926, Artículo Único, del 13 de julio de 2015.  Adjudicación Licitación Pública Internacional No. 2015LPI-0009-APITCRBM “Fortalecimiento Sede Regional San Carlos (Docencia)”.</w:t>
            </w: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pPr>
              <w:ind w:left="45" w:hanging="45"/>
              <w:contextualSpacing w:val="0"/>
              <w:jc w:val="both"/>
            </w:pPr>
            <w:r w:rsidDel="00000000" w:rsidR="00000000" w:rsidRPr="00000000">
              <w:rPr>
                <w:rtl w:val="0"/>
              </w:rPr>
            </w:r>
          </w:p>
        </w:tc>
      </w:tr>
    </w:tbl>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 xml:space="preserve">Para los fines correspondientes se transcribe el acuerdo tomado por el Consejo Institucional, citado en la referencia, el cual dice:</w:t>
      </w:r>
    </w:p>
    <w:p w:rsidR="00000000" w:rsidDel="00000000" w:rsidP="00000000" w:rsidRDefault="00000000" w:rsidRPr="00000000">
      <w:pPr>
        <w:ind w:right="1332"/>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Fonts w:ascii="Arial" w:cs="Arial" w:eastAsia="Arial" w:hAnsi="Arial"/>
          <w:b w:val="1"/>
          <w:sz w:val="24"/>
          <w:szCs w:val="24"/>
          <w:rtl w:val="0"/>
        </w:rPr>
        <w:t xml:space="preserve">CONSIDERANDO QUE:</w:t>
      </w:r>
    </w:p>
    <w:p w:rsidR="00000000" w:rsidDel="00000000" w:rsidP="00000000" w:rsidRDefault="00000000" w:rsidRPr="00000000">
      <w:pPr>
        <w:spacing w:after="0" w:before="0" w:lineRule="auto"/>
        <w:contextualSpacing w:val="0"/>
        <w:jc w:val="both"/>
      </w:pPr>
      <w:r w:rsidDel="00000000" w:rsidR="00000000" w:rsidRPr="00000000">
        <w:rPr>
          <w:rtl w:val="0"/>
        </w:rPr>
      </w:r>
    </w:p>
    <w:p w:rsidR="00000000" w:rsidDel="00000000" w:rsidP="00000000" w:rsidRDefault="00000000" w:rsidRPr="00000000">
      <w:pPr>
        <w:numPr>
          <w:ilvl w:val="0"/>
          <w:numId w:val="2"/>
        </w:numPr>
        <w:ind w:left="425" w:hanging="42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Presidencia del Consejo Institucional recibe oficio AP-UCPI-086-2015, del 08 de julio de 2015, suscrito por la Licda. Evelyn Bonilla Cervantes, Especialista en Adquisiciones del Proyecto de Mejoramiento Institucional, dirigido al Rector, Julio C. Calvo Alvarado, Presidente del Consejo Institucional, en el cual adjunta el Informe de adjudicación de la Licitación Pública Internacional No.  2015LPI-0009-APITCRBM “Fortalecimiento Sede Regional San Carlos (Docencia)”, que forma parte de la actividad de infraestructura  del Proyecto de Mejoramiento Institucional, financiado con recursos provenientes del Banco Mundial, bajo la advertencia de que este tema debe ser tratado en forma confidencial y que el plazo otorgado para realizar la adjudicación es ocho días naturales, contados a partir del 8 de julio, según las normas que rigen las adquisiciones con fondos del empréstito.</w:t>
      </w:r>
    </w:p>
    <w:p w:rsidR="00000000" w:rsidDel="00000000" w:rsidP="00000000" w:rsidRDefault="00000000" w:rsidRPr="00000000">
      <w:pPr>
        <w:tabs>
          <w:tab w:val="left" w:pos="2250"/>
        </w:tabs>
        <w:spacing w:after="0" w:before="0" w:lineRule="auto"/>
        <w:ind w:left="426" w:firstLine="0"/>
        <w:contextualSpacing w:val="0"/>
        <w:jc w:val="both"/>
      </w:pPr>
      <w:r w:rsidDel="00000000" w:rsidR="00000000" w:rsidRPr="00000000">
        <w:rPr>
          <w:rtl w:val="0"/>
        </w:rPr>
      </w:r>
    </w:p>
    <w:p w:rsidR="00000000" w:rsidDel="00000000" w:rsidP="00000000" w:rsidRDefault="00000000" w:rsidRPr="00000000">
      <w:pPr>
        <w:spacing w:after="0" w:before="0" w:lineRule="auto"/>
        <w:ind w:left="425" w:firstLine="0"/>
        <w:contextualSpacing w:val="0"/>
        <w:jc w:val="both"/>
      </w:pPr>
      <w:r w:rsidDel="00000000" w:rsidR="00000000" w:rsidRPr="00000000">
        <w:rPr>
          <w:rFonts w:ascii="Arial" w:cs="Arial" w:eastAsia="Arial" w:hAnsi="Arial"/>
          <w:sz w:val="24"/>
          <w:szCs w:val="24"/>
          <w:rtl w:val="0"/>
        </w:rPr>
        <w:t xml:space="preserve">En el mismo oficio se adjuntan los siguientes documentos:</w:t>
      </w:r>
    </w:p>
    <w:p w:rsidR="00000000" w:rsidDel="00000000" w:rsidP="00000000" w:rsidRDefault="00000000" w:rsidRPr="00000000">
      <w:pPr>
        <w:tabs>
          <w:tab w:val="left" w:pos="2250"/>
        </w:tabs>
        <w:ind w:left="992" w:firstLine="0"/>
        <w:contextualSpacing w:val="0"/>
        <w:jc w:val="both"/>
      </w:pPr>
      <w:r w:rsidDel="00000000" w:rsidR="00000000" w:rsidRPr="00000000">
        <w:rPr>
          <w:rtl w:val="0"/>
        </w:rPr>
      </w:r>
    </w:p>
    <w:p w:rsidR="00000000" w:rsidDel="00000000" w:rsidP="00000000" w:rsidRDefault="00000000" w:rsidRPr="00000000">
      <w:pPr>
        <w:numPr>
          <w:ilvl w:val="0"/>
          <w:numId w:val="1"/>
        </w:numPr>
        <w:spacing w:after="160" w:line="259" w:lineRule="auto"/>
        <w:ind w:left="993" w:hanging="283.9999999999999"/>
        <w:jc w:val="both"/>
        <w:rPr>
          <w:sz w:val="24"/>
          <w:szCs w:val="24"/>
        </w:rPr>
      </w:pPr>
      <w:r w:rsidDel="00000000" w:rsidR="00000000" w:rsidRPr="00000000">
        <w:rPr>
          <w:rFonts w:ascii="Arial" w:cs="Arial" w:eastAsia="Arial" w:hAnsi="Arial"/>
          <w:sz w:val="24"/>
          <w:szCs w:val="24"/>
          <w:rtl w:val="0"/>
        </w:rPr>
        <w:t xml:space="preserve">ViDa-UCPI-58-2015: Carta de solicitud de No objeción al Banco Mundial</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4"/>
          <w:szCs w:val="24"/>
          <w:rtl w:val="0"/>
        </w:rPr>
        <w:t xml:space="preserve">de la propuesta de Adjudicación de la Licitación No. 2015LPl-0009-APITCRBM Fortalecimiento Sede Regional San Carlos</w:t>
      </w:r>
    </w:p>
    <w:p w:rsidR="00000000" w:rsidDel="00000000" w:rsidP="00000000" w:rsidRDefault="00000000" w:rsidRPr="00000000">
      <w:pPr>
        <w:numPr>
          <w:ilvl w:val="0"/>
          <w:numId w:val="1"/>
        </w:numPr>
        <w:spacing w:after="160" w:line="259" w:lineRule="auto"/>
        <w:ind w:left="993" w:hanging="283.9999999999999"/>
        <w:jc w:val="both"/>
        <w:rPr>
          <w:sz w:val="24"/>
          <w:szCs w:val="24"/>
        </w:rPr>
      </w:pPr>
      <w:r w:rsidDel="00000000" w:rsidR="00000000" w:rsidRPr="00000000">
        <w:rPr>
          <w:rFonts w:ascii="Arial" w:cs="Arial" w:eastAsia="Arial" w:hAnsi="Arial"/>
          <w:sz w:val="24"/>
          <w:szCs w:val="24"/>
          <w:rtl w:val="0"/>
        </w:rPr>
        <w:t xml:space="preserve">Oficio-CR-8194-ITCR -2015-053: Carta de No objeción del Informe de Evaluación y Adjudicación Fortalecimiento San Carlos.</w:t>
      </w:r>
    </w:p>
    <w:p w:rsidR="00000000" w:rsidDel="00000000" w:rsidP="00000000" w:rsidRDefault="00000000" w:rsidRPr="00000000">
      <w:pPr>
        <w:spacing w:after="0" w:before="0" w:lineRule="auto"/>
        <w:ind w:left="425" w:firstLine="0"/>
        <w:contextualSpacing w:val="0"/>
        <w:jc w:val="both"/>
      </w:pPr>
      <w:r w:rsidDel="00000000" w:rsidR="00000000" w:rsidRPr="00000000">
        <w:rPr>
          <w:rFonts w:ascii="Arial" w:cs="Arial" w:eastAsia="Arial" w:hAnsi="Arial"/>
          <w:sz w:val="24"/>
          <w:szCs w:val="24"/>
          <w:rtl w:val="0"/>
        </w:rPr>
        <w:t xml:space="preserve">Asimismo, se indica que considerando el tamaño de los anexos que forman parte del informe y que cada uno de estos documentos forma parte del expediente, los mismos están siendo suministrados en CD.</w:t>
      </w:r>
    </w:p>
    <w:p w:rsidR="00000000" w:rsidDel="00000000" w:rsidP="00000000" w:rsidRDefault="00000000" w:rsidRPr="00000000">
      <w:pPr>
        <w:spacing w:after="0" w:before="0" w:lineRule="auto"/>
        <w:ind w:left="425" w:firstLine="0"/>
        <w:contextualSpacing w:val="0"/>
        <w:jc w:val="both"/>
      </w:pPr>
      <w:r w:rsidDel="00000000" w:rsidR="00000000" w:rsidRPr="00000000">
        <w:rPr>
          <w:rtl w:val="0"/>
        </w:rPr>
      </w:r>
    </w:p>
    <w:p w:rsidR="00000000" w:rsidDel="00000000" w:rsidP="00000000" w:rsidRDefault="00000000" w:rsidRPr="00000000">
      <w:pPr>
        <w:numPr>
          <w:ilvl w:val="0"/>
          <w:numId w:val="2"/>
        </w:numPr>
        <w:spacing w:after="0" w:before="0" w:lineRule="auto"/>
        <w:ind w:left="425" w:hanging="425"/>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formulario estándar del “Informe sobre la evaluación de las ofertas y recomendaciones para la adjudicación del contrato, se describe, en la página 2, que el contrato consiste en la construcción del edificio de dos niveles destinado para aulas y laboratorios diversos con un área total: 4 651,58 m</w:t>
      </w:r>
      <w:r w:rsidDel="00000000" w:rsidR="00000000" w:rsidRPr="00000000">
        <w:rPr>
          <w:rFonts w:ascii="Arial" w:cs="Arial" w:eastAsia="Arial" w:hAnsi="Arial"/>
          <w:sz w:val="24"/>
          <w:szCs w:val="24"/>
          <w:vertAlign w:val="superscript"/>
          <w:rtl w:val="0"/>
        </w:rPr>
        <w:t xml:space="preserve">2</w:t>
      </w:r>
      <w:r w:rsidDel="00000000" w:rsidR="00000000" w:rsidRPr="00000000">
        <w:rPr>
          <w:rFonts w:ascii="Arial" w:cs="Arial" w:eastAsia="Arial" w:hAnsi="Arial"/>
          <w:sz w:val="24"/>
          <w:szCs w:val="24"/>
          <w:rtl w:val="0"/>
        </w:rPr>
        <w:t xml:space="preserve"> y que incluye obras exteriores. Todo lo anterior de acuerdo con planos y especificaciones técnicas.</w:t>
      </w:r>
    </w:p>
    <w:p w:rsidR="00000000" w:rsidDel="00000000" w:rsidP="00000000" w:rsidRDefault="00000000" w:rsidRPr="00000000">
      <w:pPr>
        <w:spacing w:after="0" w:before="0" w:lineRule="auto"/>
        <w:ind w:left="425" w:firstLine="0"/>
        <w:contextualSpacing w:val="0"/>
        <w:jc w:val="both"/>
      </w:pPr>
      <w:r w:rsidDel="00000000" w:rsidR="00000000" w:rsidRPr="00000000">
        <w:rPr>
          <w:rtl w:val="0"/>
        </w:rPr>
      </w:r>
    </w:p>
    <w:p w:rsidR="00000000" w:rsidDel="00000000" w:rsidP="00000000" w:rsidRDefault="00000000" w:rsidRPr="00000000">
      <w:pPr>
        <w:numPr>
          <w:ilvl w:val="0"/>
          <w:numId w:val="2"/>
        </w:numPr>
        <w:ind w:left="425" w:hanging="42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licitación mencionada se recibieron siete ofertas, de las cuales tres fueron rechazadas (ver cuadro 6 del Informe), pues la oferta de:</w:t>
      </w:r>
    </w:p>
    <w:p w:rsidR="00000000" w:rsidDel="00000000" w:rsidP="00000000" w:rsidRDefault="00000000" w:rsidRPr="00000000">
      <w:pPr>
        <w:spacing w:after="0" w:before="0" w:lineRule="auto"/>
        <w:ind w:left="720" w:firstLine="0"/>
        <w:contextualSpacing w:val="0"/>
      </w:pPr>
      <w:r w:rsidDel="00000000" w:rsidR="00000000" w:rsidRPr="00000000">
        <w:rPr>
          <w:rtl w:val="0"/>
        </w:rPr>
      </w:r>
    </w:p>
    <w:p w:rsidR="00000000" w:rsidDel="00000000" w:rsidP="00000000" w:rsidRDefault="00000000" w:rsidRPr="00000000">
      <w:pPr>
        <w:numPr>
          <w:ilvl w:val="1"/>
          <w:numId w:val="2"/>
        </w:numPr>
        <w:spacing w:after="60" w:lineRule="auto"/>
        <w:ind w:left="788" w:hanging="43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Constructora Gonzalo Delgado S.A no cumplió con los requisitos de verificación descritos en el documento de licitación ya que la vigencia de la oferta fue por un monto inferior al requerido,</w:t>
      </w:r>
    </w:p>
    <w:p w:rsidR="00000000" w:rsidDel="00000000" w:rsidP="00000000" w:rsidRDefault="00000000" w:rsidRPr="00000000">
      <w:pPr>
        <w:numPr>
          <w:ilvl w:val="1"/>
          <w:numId w:val="2"/>
        </w:numPr>
        <w:spacing w:after="60" w:lineRule="auto"/>
        <w:ind w:left="788" w:hanging="43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Constructora ICON S.A. no cumplió con los requisitos de integridad de la oferta debido a que la carta de la oferta no responde al formulario incluido en el cartel, y las cláusulas del formato estándar, incluido en este formulario, no fueron contenidas dentro de la oferta.  Además condiciona la ejecución del contrato a un adelanto del 15% del costo total de la obra, lo cual es contrario a lo especificado en el cartel, y</w:t>
      </w:r>
    </w:p>
    <w:p w:rsidR="00000000" w:rsidDel="00000000" w:rsidP="00000000" w:rsidRDefault="00000000" w:rsidRPr="00000000">
      <w:pPr>
        <w:numPr>
          <w:ilvl w:val="1"/>
          <w:numId w:val="2"/>
        </w:numPr>
        <w:spacing w:after="60" w:lineRule="auto"/>
        <w:ind w:left="788" w:hanging="43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Estructuras S.A. no responde a lo sustancialmente solicitado ya que el monto total de la oferta en la tabla de pagos no concuerda con el monto especificado en la carta de la oferta, se solicitó aclaración, pero se mantuvo la inconsistencia.</w:t>
      </w:r>
    </w:p>
    <w:p w:rsidR="00000000" w:rsidDel="00000000" w:rsidP="00000000" w:rsidRDefault="00000000" w:rsidRPr="00000000">
      <w:pPr>
        <w:spacing w:after="0" w:before="0" w:lineRule="auto"/>
        <w:ind w:left="720" w:firstLine="0"/>
        <w:contextualSpacing w:val="0"/>
      </w:pPr>
      <w:r w:rsidDel="00000000" w:rsidR="00000000" w:rsidRPr="00000000">
        <w:rPr>
          <w:rtl w:val="0"/>
        </w:rPr>
      </w:r>
    </w:p>
    <w:p w:rsidR="00000000" w:rsidDel="00000000" w:rsidP="00000000" w:rsidRDefault="00000000" w:rsidRPr="00000000">
      <w:pPr>
        <w:numPr>
          <w:ilvl w:val="0"/>
          <w:numId w:val="2"/>
        </w:numPr>
        <w:ind w:left="425" w:hanging="42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cuadro 9 del documento supra citado, se muestra el precio de las ofertas de las cuatro ofertas que cumplieron con el examen preliminar, los cuales se resumen a continuación:</w:t>
      </w:r>
    </w:p>
    <w:p w:rsidR="00000000" w:rsidDel="00000000" w:rsidP="00000000" w:rsidRDefault="00000000" w:rsidRPr="00000000">
      <w:pPr>
        <w:spacing w:before="0" w:lineRule="auto"/>
        <w:ind w:left="425" w:firstLine="0"/>
        <w:contextualSpacing w:val="0"/>
        <w:jc w:val="both"/>
      </w:pPr>
      <w:r w:rsidDel="00000000" w:rsidR="00000000" w:rsidRPr="00000000">
        <w:rPr>
          <w:rtl w:val="0"/>
        </w:rPr>
      </w:r>
    </w:p>
    <w:tbl>
      <w:tblPr>
        <w:tblStyle w:val="Table2"/>
        <w:bidi w:val="0"/>
        <w:tblW w:w="8245.0" w:type="dxa"/>
        <w:jc w:val="left"/>
        <w:tblInd w:w="41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2"/>
        <w:gridCol w:w="4313"/>
        <w:tblGridChange w:id="0">
          <w:tblGrid>
            <w:gridCol w:w="3932"/>
            <w:gridCol w:w="4313"/>
          </w:tblGrid>
        </w:tblGridChange>
      </w:tblGrid>
      <w:tr>
        <w:tc>
          <w:tcPr/>
          <w:p w:rsidR="00000000" w:rsidDel="00000000" w:rsidP="00000000" w:rsidRDefault="00000000" w:rsidRPr="00000000">
            <w:pPr>
              <w:contextualSpacing w:val="0"/>
              <w:jc w:val="center"/>
            </w:pPr>
            <w:r w:rsidDel="00000000" w:rsidR="00000000" w:rsidRPr="00000000">
              <w:rPr>
                <w:rFonts w:ascii="Arial" w:cs="Arial" w:eastAsia="Arial" w:hAnsi="Arial"/>
                <w:b w:val="1"/>
                <w:sz w:val="24"/>
                <w:szCs w:val="24"/>
                <w:rtl w:val="0"/>
              </w:rPr>
              <w:t xml:space="preserve">Datos</w:t>
            </w:r>
          </w:p>
        </w:tc>
        <w:tc>
          <w:tcPr/>
          <w:p w:rsidR="00000000" w:rsidDel="00000000" w:rsidP="00000000" w:rsidRDefault="00000000" w:rsidRPr="00000000">
            <w:pPr>
              <w:contextualSpacing w:val="0"/>
              <w:jc w:val="center"/>
            </w:pPr>
            <w:r w:rsidDel="00000000" w:rsidR="00000000" w:rsidRPr="00000000">
              <w:rPr>
                <w:rFonts w:ascii="Arial" w:cs="Arial" w:eastAsia="Arial" w:hAnsi="Arial"/>
                <w:b w:val="1"/>
                <w:sz w:val="24"/>
                <w:szCs w:val="24"/>
                <w:rtl w:val="0"/>
              </w:rPr>
              <w:t xml:space="preserve">Precios</w:t>
            </w:r>
          </w:p>
        </w:tc>
      </w:tr>
      <w:tr>
        <w:tc>
          <w:tcPr/>
          <w:p w:rsidR="00000000" w:rsidDel="00000000" w:rsidP="00000000" w:rsidRDefault="00000000" w:rsidRPr="00000000">
            <w:pPr>
              <w:contextualSpacing w:val="0"/>
              <w:jc w:val="center"/>
            </w:pPr>
            <w:r w:rsidDel="00000000" w:rsidR="00000000" w:rsidRPr="00000000">
              <w:rPr>
                <w:rFonts w:ascii="Arial" w:cs="Arial" w:eastAsia="Arial" w:hAnsi="Arial"/>
                <w:b w:val="1"/>
                <w:sz w:val="24"/>
                <w:szCs w:val="24"/>
                <w:rtl w:val="0"/>
              </w:rPr>
              <w:t xml:space="preserve">Licitante</w:t>
            </w:r>
          </w:p>
        </w:tc>
        <w:tc>
          <w:tcPr/>
          <w:p w:rsidR="00000000" w:rsidDel="00000000" w:rsidP="00000000" w:rsidRDefault="00000000" w:rsidRPr="00000000">
            <w:pPr>
              <w:spacing w:after="0" w:lineRule="auto"/>
              <w:contextualSpacing w:val="0"/>
              <w:jc w:val="center"/>
            </w:pPr>
            <w:r w:rsidDel="00000000" w:rsidR="00000000" w:rsidRPr="00000000">
              <w:rPr>
                <w:rFonts w:ascii="Arial" w:cs="Arial" w:eastAsia="Arial" w:hAnsi="Arial"/>
                <w:b w:val="1"/>
                <w:sz w:val="24"/>
                <w:szCs w:val="24"/>
                <w:rtl w:val="0"/>
              </w:rPr>
              <w:t xml:space="preserve">Precio de la Oferta corregido y/o rebajado</w:t>
            </w:r>
            <w:r w:rsidDel="00000000" w:rsidR="00000000" w:rsidRPr="00000000">
              <w:rPr>
                <w:rFonts w:ascii="Arial" w:cs="Arial" w:eastAsia="Arial" w:hAnsi="Arial"/>
                <w:b w:val="1"/>
                <w:sz w:val="24"/>
                <w:szCs w:val="24"/>
                <w:vertAlign w:val="superscript"/>
                <w:rtl w:val="0"/>
              </w:rPr>
              <w:t xml:space="preserve">1</w:t>
            </w:r>
            <w:r w:rsidDel="00000000" w:rsidR="00000000" w:rsidRPr="00000000">
              <w:rPr>
                <w:rFonts w:ascii="Arial" w:cs="Arial" w:eastAsia="Arial" w:hAnsi="Arial"/>
                <w:b w:val="1"/>
                <w:sz w:val="24"/>
                <w:szCs w:val="24"/>
                <w:rtl w:val="0"/>
              </w:rPr>
              <w:t xml:space="preserve"> (en la moneda especificada </w:t>
            </w:r>
          </w:p>
          <w:p w:rsidR="00000000" w:rsidDel="00000000" w:rsidP="00000000" w:rsidRDefault="00000000" w:rsidRPr="00000000">
            <w:pPr>
              <w:spacing w:before="0" w:lineRule="auto"/>
              <w:contextualSpacing w:val="0"/>
              <w:jc w:val="center"/>
            </w:pPr>
            <w:r w:rsidDel="00000000" w:rsidR="00000000" w:rsidRPr="00000000">
              <w:rPr>
                <w:rFonts w:ascii="Arial" w:cs="Arial" w:eastAsia="Arial" w:hAnsi="Arial"/>
                <w:b w:val="1"/>
                <w:sz w:val="24"/>
                <w:szCs w:val="24"/>
                <w:rtl w:val="0"/>
              </w:rPr>
              <w:t xml:space="preserve">b)</w:t>
            </w:r>
          </w:p>
        </w:tc>
      </w:tr>
      <w:tr>
        <w:tc>
          <w:tcPr/>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CPM </w:t>
            </w:r>
          </w:p>
        </w:tc>
        <w:tc>
          <w:tcPr>
            <w:vAlign w:val="center"/>
          </w:tcPr>
          <w:p w:rsidR="00000000" w:rsidDel="00000000" w:rsidP="00000000" w:rsidRDefault="00000000" w:rsidRPr="00000000">
            <w:pPr>
              <w:contextualSpacing w:val="0"/>
              <w:jc w:val="center"/>
            </w:pPr>
            <w:r w:rsidDel="00000000" w:rsidR="00000000" w:rsidRPr="00000000">
              <w:rPr>
                <w:rFonts w:ascii="Arial" w:cs="Arial" w:eastAsia="Arial" w:hAnsi="Arial"/>
                <w:sz w:val="22"/>
                <w:szCs w:val="22"/>
                <w:rtl w:val="0"/>
              </w:rPr>
              <w:t xml:space="preserve">₡1 409 716 321,66</w:t>
            </w:r>
          </w:p>
        </w:tc>
      </w:tr>
      <w:tr>
        <w:tc>
          <w:tcPr/>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P y P Construcciones SA</w:t>
            </w:r>
          </w:p>
        </w:tc>
        <w:tc>
          <w:tcPr>
            <w:vAlign w:val="center"/>
          </w:tcPr>
          <w:p w:rsidR="00000000" w:rsidDel="00000000" w:rsidP="00000000" w:rsidRDefault="00000000" w:rsidRPr="00000000">
            <w:pPr>
              <w:contextualSpacing w:val="0"/>
              <w:jc w:val="center"/>
            </w:pPr>
            <w:r w:rsidDel="00000000" w:rsidR="00000000" w:rsidRPr="00000000">
              <w:rPr>
                <w:rFonts w:ascii="Arial" w:cs="Arial" w:eastAsia="Arial" w:hAnsi="Arial"/>
                <w:sz w:val="22"/>
                <w:szCs w:val="22"/>
                <w:rtl w:val="0"/>
              </w:rPr>
              <w:t xml:space="preserve">₡1 430 000 000,00</w:t>
            </w:r>
          </w:p>
        </w:tc>
      </w:tr>
      <w:tr>
        <w:tc>
          <w:tcPr/>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Diseño Ingeniería Arquitectura  S.A.</w:t>
            </w:r>
          </w:p>
        </w:tc>
        <w:tc>
          <w:tcPr>
            <w:vAlign w:val="center"/>
          </w:tcPr>
          <w:p w:rsidR="00000000" w:rsidDel="00000000" w:rsidP="00000000" w:rsidRDefault="00000000" w:rsidRPr="00000000">
            <w:pPr>
              <w:contextualSpacing w:val="0"/>
              <w:jc w:val="center"/>
            </w:pPr>
            <w:r w:rsidDel="00000000" w:rsidR="00000000" w:rsidRPr="00000000">
              <w:rPr>
                <w:rFonts w:ascii="Arial" w:cs="Arial" w:eastAsia="Arial" w:hAnsi="Arial"/>
                <w:sz w:val="22"/>
                <w:szCs w:val="22"/>
                <w:rtl w:val="0"/>
              </w:rPr>
              <w:t xml:space="preserve">₡1 644 343 500,00</w:t>
            </w:r>
          </w:p>
        </w:tc>
      </w:tr>
      <w:tr>
        <w:tc>
          <w:tcPr/>
          <w:p w:rsidR="00000000" w:rsidDel="00000000" w:rsidP="00000000" w:rsidRDefault="00000000" w:rsidRPr="00000000">
            <w:pPr>
              <w:spacing w:after="144" w:lineRule="auto"/>
              <w:contextualSpacing w:val="0"/>
            </w:pPr>
            <w:r w:rsidDel="00000000" w:rsidR="00000000" w:rsidRPr="00000000">
              <w:rPr>
                <w:rFonts w:ascii="Arial" w:cs="Arial" w:eastAsia="Arial" w:hAnsi="Arial"/>
                <w:sz w:val="22"/>
                <w:szCs w:val="22"/>
                <w:rtl w:val="0"/>
              </w:rPr>
              <w:t xml:space="preserve">Constructora Navarro y Avilés S.A.</w:t>
            </w:r>
          </w:p>
        </w:tc>
        <w:tc>
          <w:tcPr>
            <w:vAlign w:val="center"/>
          </w:tcPr>
          <w:p w:rsidR="00000000" w:rsidDel="00000000" w:rsidP="00000000" w:rsidRDefault="00000000" w:rsidRPr="00000000">
            <w:pPr>
              <w:spacing w:after="144" w:lineRule="auto"/>
              <w:contextualSpacing w:val="0"/>
              <w:jc w:val="center"/>
            </w:pPr>
            <w:r w:rsidDel="00000000" w:rsidR="00000000" w:rsidRPr="00000000">
              <w:rPr>
                <w:rFonts w:ascii="Arial" w:cs="Arial" w:eastAsia="Arial" w:hAnsi="Arial"/>
                <w:sz w:val="22"/>
                <w:szCs w:val="22"/>
                <w:rtl w:val="0"/>
              </w:rPr>
              <w:t xml:space="preserve">₡1 517 430 000,00</w:t>
            </w:r>
          </w:p>
        </w:tc>
      </w:tr>
    </w:tbl>
    <w:p w:rsidR="00000000" w:rsidDel="00000000" w:rsidP="00000000" w:rsidRDefault="00000000" w:rsidRPr="00000000">
      <w:pPr>
        <w:spacing w:after="0" w:lineRule="auto"/>
        <w:ind w:left="709" w:hanging="283"/>
        <w:contextualSpacing w:val="0"/>
        <w:jc w:val="both"/>
      </w:pPr>
      <w:r w:rsidDel="00000000" w:rsidR="00000000" w:rsidRPr="00000000">
        <w:rPr>
          <w:rFonts w:ascii="Arial" w:cs="Arial" w:eastAsia="Arial" w:hAnsi="Arial"/>
          <w:rtl w:val="0"/>
        </w:rPr>
        <w:t xml:space="preserve">1: Los precios de estas ofertas están sin impuesto de ventas de los materiales y sin el monto de los eventos compensables (imprevistos por un 5%)</w:t>
      </w:r>
    </w:p>
    <w:p w:rsidR="00000000" w:rsidDel="00000000" w:rsidP="00000000" w:rsidRDefault="00000000" w:rsidRPr="00000000">
      <w:pPr>
        <w:spacing w:after="0" w:before="0" w:lineRule="auto"/>
        <w:ind w:left="425" w:firstLine="0"/>
        <w:contextualSpacing w:val="0"/>
        <w:jc w:val="both"/>
      </w:pPr>
      <w:r w:rsidDel="00000000" w:rsidR="00000000" w:rsidRPr="00000000">
        <w:rPr>
          <w:rtl w:val="0"/>
        </w:rPr>
      </w:r>
    </w:p>
    <w:p w:rsidR="00000000" w:rsidDel="00000000" w:rsidP="00000000" w:rsidRDefault="00000000" w:rsidRPr="00000000">
      <w:pPr>
        <w:numPr>
          <w:ilvl w:val="0"/>
          <w:numId w:val="2"/>
        </w:numPr>
        <w:ind w:left="425" w:hanging="42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Después de la evaluación de los criterios de calificación del documento de licitación (ver cuadro 12 del Informe), se excluye la oferta del licitante CPM, pues no cumple con el requisito de experiencia general, ya que en cuatro de los diez años, estipulados en el requisito de experiencia general, no cumple con una actividad mínima de 9 meses por año.</w:t>
      </w:r>
    </w:p>
    <w:p w:rsidR="00000000" w:rsidDel="00000000" w:rsidP="00000000" w:rsidRDefault="00000000" w:rsidRPr="00000000">
      <w:pPr>
        <w:spacing w:after="0" w:before="0" w:lineRule="auto"/>
        <w:ind w:left="425" w:firstLine="0"/>
        <w:contextualSpacing w:val="0"/>
        <w:jc w:val="both"/>
      </w:pPr>
      <w:r w:rsidDel="00000000" w:rsidR="00000000" w:rsidRPr="00000000">
        <w:rPr>
          <w:rtl w:val="0"/>
        </w:rPr>
      </w:r>
    </w:p>
    <w:p w:rsidR="00000000" w:rsidDel="00000000" w:rsidP="00000000" w:rsidRDefault="00000000" w:rsidRPr="00000000">
      <w:pPr>
        <w:numPr>
          <w:ilvl w:val="0"/>
          <w:numId w:val="2"/>
        </w:numPr>
        <w:ind w:left="425" w:hanging="42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recibió oficio ViDa-UCPI-66-2015, suscrito por el Ing. Luis Paulino Méndez, Coordinador del Proyecto de Mejoramiento Institucional, dirigido al PhD. Julio C Calvo, Presidente del Consejo Institucional, en el que se comunica que el informe de evaluación y adjudicación contenía un error en el monto de los eventos compensables de la oferta de la empresa P y P Construcciones S.A., el cual fue corregido y enviado de nuevo a no objeción. </w:t>
      </w:r>
    </w:p>
    <w:p w:rsidR="00000000" w:rsidDel="00000000" w:rsidP="00000000" w:rsidRDefault="00000000" w:rsidRPr="00000000">
      <w:pPr>
        <w:ind w:left="425" w:firstLine="0"/>
        <w:contextualSpacing w:val="0"/>
        <w:jc w:val="both"/>
      </w:pPr>
      <w:r w:rsidDel="00000000" w:rsidR="00000000" w:rsidRPr="00000000">
        <w:rPr>
          <w:rtl w:val="0"/>
        </w:rPr>
      </w:r>
    </w:p>
    <w:p w:rsidR="00000000" w:rsidDel="00000000" w:rsidP="00000000" w:rsidRDefault="00000000" w:rsidRPr="00000000">
      <w:pPr>
        <w:spacing w:after="0" w:before="0" w:lineRule="auto"/>
        <w:ind w:left="425" w:firstLine="0"/>
        <w:contextualSpacing w:val="0"/>
        <w:jc w:val="both"/>
      </w:pPr>
      <w:r w:rsidDel="00000000" w:rsidR="00000000" w:rsidRPr="00000000">
        <w:rPr>
          <w:rFonts w:ascii="Arial" w:cs="Arial" w:eastAsia="Arial" w:hAnsi="Arial"/>
          <w:sz w:val="24"/>
          <w:szCs w:val="24"/>
          <w:rtl w:val="0"/>
        </w:rPr>
        <w:t xml:space="preserve">En el mismo oficio se adjuntan los siguientes documentos:</w:t>
      </w:r>
    </w:p>
    <w:p w:rsidR="00000000" w:rsidDel="00000000" w:rsidP="00000000" w:rsidRDefault="00000000" w:rsidRPr="00000000">
      <w:pPr>
        <w:tabs>
          <w:tab w:val="left" w:pos="2250"/>
        </w:tabs>
        <w:ind w:left="992" w:firstLine="0"/>
        <w:contextualSpacing w:val="0"/>
        <w:jc w:val="both"/>
      </w:pPr>
      <w:r w:rsidDel="00000000" w:rsidR="00000000" w:rsidRPr="00000000">
        <w:rPr>
          <w:rtl w:val="0"/>
        </w:rPr>
      </w:r>
    </w:p>
    <w:p w:rsidR="00000000" w:rsidDel="00000000" w:rsidP="00000000" w:rsidRDefault="00000000" w:rsidRPr="00000000">
      <w:pPr>
        <w:numPr>
          <w:ilvl w:val="0"/>
          <w:numId w:val="1"/>
        </w:numPr>
        <w:spacing w:after="160" w:line="259" w:lineRule="auto"/>
        <w:ind w:left="720" w:hanging="360"/>
        <w:jc w:val="both"/>
        <w:rPr>
          <w:sz w:val="24"/>
          <w:szCs w:val="24"/>
        </w:rPr>
      </w:pPr>
      <w:r w:rsidDel="00000000" w:rsidR="00000000" w:rsidRPr="00000000">
        <w:rPr>
          <w:rFonts w:ascii="Arial" w:cs="Arial" w:eastAsia="Arial" w:hAnsi="Arial"/>
          <w:sz w:val="24"/>
          <w:szCs w:val="24"/>
          <w:rtl w:val="0"/>
        </w:rPr>
        <w:t xml:space="preserve">ViDa-UCPI-65-2015: Carta de solicitud de No objeción al Banco Mundial</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4"/>
          <w:szCs w:val="24"/>
          <w:rtl w:val="0"/>
        </w:rPr>
        <w:t xml:space="preserve">de la propuesta de Adjudicación de la Licitación No. 2015LPl-0009-APITCRB Fortalecimiento Sede Regional San Carlos corregida</w:t>
      </w:r>
    </w:p>
    <w:p w:rsidR="00000000" w:rsidDel="00000000" w:rsidP="00000000" w:rsidRDefault="00000000" w:rsidRPr="00000000">
      <w:pPr>
        <w:numPr>
          <w:ilvl w:val="0"/>
          <w:numId w:val="1"/>
        </w:numPr>
        <w:spacing w:after="160" w:line="259" w:lineRule="auto"/>
        <w:ind w:left="720" w:hanging="360"/>
        <w:jc w:val="both"/>
        <w:rPr>
          <w:sz w:val="24"/>
          <w:szCs w:val="24"/>
        </w:rPr>
      </w:pPr>
      <w:r w:rsidDel="00000000" w:rsidR="00000000" w:rsidRPr="00000000">
        <w:rPr>
          <w:rFonts w:ascii="Arial" w:cs="Arial" w:eastAsia="Arial" w:hAnsi="Arial"/>
          <w:sz w:val="24"/>
          <w:szCs w:val="24"/>
          <w:rtl w:val="0"/>
        </w:rPr>
        <w:t xml:space="preserve">Oficio-CR-8194-ITCR -2015-053: Carta de No objeción del Informe de Evaluación y Adjudicación Fortalecimiento San Carlos.</w:t>
      </w:r>
    </w:p>
    <w:p w:rsidR="00000000" w:rsidDel="00000000" w:rsidP="00000000" w:rsidRDefault="00000000" w:rsidRPr="00000000">
      <w:pPr>
        <w:numPr>
          <w:ilvl w:val="0"/>
          <w:numId w:val="1"/>
        </w:numPr>
        <w:spacing w:after="160" w:line="259" w:lineRule="auto"/>
        <w:ind w:left="720" w:hanging="360"/>
        <w:jc w:val="both"/>
        <w:rPr>
          <w:sz w:val="24"/>
          <w:szCs w:val="24"/>
        </w:rPr>
      </w:pPr>
      <w:r w:rsidDel="00000000" w:rsidR="00000000" w:rsidRPr="00000000">
        <w:rPr>
          <w:rFonts w:ascii="Arial" w:cs="Arial" w:eastAsia="Arial" w:hAnsi="Arial"/>
          <w:sz w:val="24"/>
          <w:szCs w:val="24"/>
          <w:rtl w:val="0"/>
        </w:rPr>
        <w:t xml:space="preserve">Informe de Evaluación y Adjudicación corregido.</w:t>
      </w:r>
    </w:p>
    <w:p w:rsidR="00000000" w:rsidDel="00000000" w:rsidP="00000000" w:rsidRDefault="00000000" w:rsidRPr="00000000">
      <w:pPr>
        <w:numPr>
          <w:ilvl w:val="0"/>
          <w:numId w:val="2"/>
        </w:numPr>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pleno del Consejo Institucional en la Sesión Extraordinaria  No. 2926, celebrada el 13 de julio de 2015, recibe a los funcionarios involucrados en el proceso licitatorio: el Ing. Luis Paulino Méndez Badilla, Coordinador del Proyecto de Mejoramiento Institucional, la Licda. Evelyn Bonilla Cervantes, Lic. Walter Sequeira Fallas, especialistas de adquisiciones del proyecto, la BQ. Grettel Castro Portuguez,  el Lic. Danilo May Cantillano y el Ing. Saúl Fernández, todos miembros de la Comisión de Evaluación, quienes  hacen una breve exposición del Informe recomendativo y responden consultas de los miembros del Consejo. En dicha exposición se explica cuál fue el proceso seguido para analizar cada una de las ofertas presentadas, en el mismo informe la Comisión de Evaluación recomienda la adjudicación a la empresa P y P Construcciones S.A. por ser la empresa que presenta la oferta de menor precio que cumple con todos los requisitos estipulados en el documento de licitación.</w:t>
      </w:r>
    </w:p>
    <w:p w:rsidR="00000000" w:rsidDel="00000000" w:rsidP="00000000" w:rsidRDefault="00000000" w:rsidRPr="00000000">
      <w:pPr>
        <w:spacing w:after="0" w:before="0" w:lineRule="auto"/>
        <w:ind w:left="425" w:firstLine="0"/>
        <w:contextualSpacing w:val="0"/>
        <w:jc w:val="both"/>
      </w:pPr>
      <w:r w:rsidDel="00000000" w:rsidR="00000000" w:rsidRPr="00000000">
        <w:rPr>
          <w:rtl w:val="0"/>
        </w:rPr>
      </w:r>
    </w:p>
    <w:p w:rsidR="00000000" w:rsidDel="00000000" w:rsidP="00000000" w:rsidRDefault="00000000" w:rsidRPr="00000000">
      <w:pPr>
        <w:numPr>
          <w:ilvl w:val="0"/>
          <w:numId w:val="2"/>
        </w:numPr>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Durante la exposición se aclara que el monto a adjudicar no contempla el 5% de eventos compensables, también conocidos como imprevistos que pudieran presentarse durante la construcción de la obra, ya que algunas empresas tomaron en cuenta en el monto ofertado la asignación del 5% por imprevistos, cuando lo correcto es excluir dicha suma, ya que puede darse el caso de que no se presente ningún imprevisto y no es necesario dicho pago.</w:t>
      </w:r>
    </w:p>
    <w:p w:rsidR="00000000" w:rsidDel="00000000" w:rsidP="00000000" w:rsidRDefault="00000000" w:rsidRPr="00000000">
      <w:pPr>
        <w:spacing w:after="0" w:before="0" w:lineRule="auto"/>
        <w:ind w:left="425" w:firstLine="0"/>
        <w:contextualSpacing w:val="0"/>
        <w:jc w:val="both"/>
      </w:pPr>
      <w:r w:rsidDel="00000000" w:rsidR="00000000" w:rsidRPr="00000000">
        <w:rPr>
          <w:rtl w:val="0"/>
        </w:rPr>
      </w:r>
    </w:p>
    <w:p w:rsidR="00000000" w:rsidDel="00000000" w:rsidP="00000000" w:rsidRDefault="00000000" w:rsidRPr="00000000">
      <w:pPr>
        <w:spacing w:after="0" w:before="0" w:lineRule="auto"/>
        <w:ind w:left="425" w:firstLine="0"/>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bookmarkStart w:colFirst="0" w:colLast="0" w:name="_30j0zll" w:id="1"/>
      <w:bookmarkEnd w:id="1"/>
      <w:r w:rsidDel="00000000" w:rsidR="00000000" w:rsidRPr="00000000">
        <w:rPr>
          <w:rFonts w:ascii="Arial" w:cs="Arial" w:eastAsia="Arial" w:hAnsi="Arial"/>
          <w:b w:val="1"/>
          <w:sz w:val="24"/>
          <w:szCs w:val="24"/>
          <w:rtl w:val="0"/>
        </w:rPr>
        <w:t xml:space="preserve">SE ACUERDA:</w:t>
      </w:r>
    </w:p>
    <w:p w:rsidR="00000000" w:rsidDel="00000000" w:rsidP="00000000" w:rsidRDefault="00000000" w:rsidRPr="00000000">
      <w:pPr>
        <w:tabs>
          <w:tab w:val="left" w:pos="3969"/>
        </w:tabs>
        <w:spacing w:after="0" w:before="0" w:lineRule="auto"/>
        <w:ind w:left="786" w:firstLine="0"/>
        <w:contextualSpacing w:val="0"/>
        <w:jc w:val="both"/>
      </w:pPr>
      <w:r w:rsidDel="00000000" w:rsidR="00000000" w:rsidRPr="00000000">
        <w:rPr>
          <w:rtl w:val="0"/>
        </w:rPr>
      </w:r>
    </w:p>
    <w:p w:rsidR="00000000" w:rsidDel="00000000" w:rsidP="00000000" w:rsidRDefault="00000000" w:rsidRPr="00000000">
      <w:pPr>
        <w:numPr>
          <w:ilvl w:val="0"/>
          <w:numId w:val="3"/>
        </w:numPr>
        <w:tabs>
          <w:tab w:val="left" w:pos="3969"/>
        </w:tabs>
        <w:ind w:left="425" w:hanging="425"/>
        <w:jc w:val="both"/>
        <w:rPr>
          <w:rFonts w:ascii="Arial" w:cs="Arial" w:eastAsia="Arial" w:hAnsi="Arial"/>
        </w:rPr>
      </w:pPr>
      <w:r w:rsidDel="00000000" w:rsidR="00000000" w:rsidRPr="00000000">
        <w:rPr>
          <w:rFonts w:ascii="Arial" w:cs="Arial" w:eastAsia="Arial" w:hAnsi="Arial"/>
          <w:sz w:val="24"/>
          <w:szCs w:val="24"/>
          <w:rtl w:val="0"/>
        </w:rPr>
        <w:t xml:space="preserve">Adjudicar la Licitación Pública Internacional No. 2015LPI-0009-APITCRBM “Fortalecimiento Sede Regional San Carlos (Docencia)”, que forma parte de la actividad de infraestructura  del Proyecto de Mejoramiento Institucional, financiado con recursos provenientes del Banco Mundial, a la empresa P y P Construcciones S.A., </w:t>
      </w:r>
      <w:r w:rsidDel="00000000" w:rsidR="00000000" w:rsidRPr="00000000">
        <w:rPr>
          <w:rFonts w:ascii="Arial" w:cs="Arial" w:eastAsia="Arial" w:hAnsi="Arial"/>
          <w:color w:val="000000"/>
          <w:sz w:val="24"/>
          <w:szCs w:val="24"/>
          <w:rtl w:val="0"/>
        </w:rPr>
        <w:t xml:space="preserve">cédula jurídica 3-101-083969-36,</w:t>
      </w:r>
      <w:r w:rsidDel="00000000" w:rsidR="00000000" w:rsidRPr="00000000">
        <w:rPr>
          <w:rFonts w:ascii="Arial" w:cs="Arial" w:eastAsia="Arial" w:hAnsi="Arial"/>
          <w:sz w:val="24"/>
          <w:szCs w:val="24"/>
          <w:rtl w:val="0"/>
        </w:rPr>
        <w:t xml:space="preserve"> por un monto de ₡1 430 000 000,00, mil cuatrocientos treinta millones de colones sin céntimos, según la recomendación realizada por la Comisión Evaluadora. </w:t>
      </w:r>
    </w:p>
    <w:p w:rsidR="00000000" w:rsidDel="00000000" w:rsidP="00000000" w:rsidRDefault="00000000" w:rsidRPr="00000000">
      <w:pPr>
        <w:tabs>
          <w:tab w:val="left" w:pos="3969"/>
        </w:tabs>
        <w:spacing w:after="0" w:before="0" w:lineRule="auto"/>
        <w:ind w:left="425" w:firstLine="0"/>
        <w:contextualSpacing w:val="0"/>
        <w:jc w:val="both"/>
      </w:pPr>
      <w:r w:rsidDel="00000000" w:rsidR="00000000" w:rsidRPr="00000000">
        <w:rPr>
          <w:rtl w:val="0"/>
        </w:rPr>
      </w:r>
    </w:p>
    <w:p w:rsidR="00000000" w:rsidDel="00000000" w:rsidP="00000000" w:rsidRDefault="00000000" w:rsidRPr="00000000">
      <w:pPr>
        <w:numPr>
          <w:ilvl w:val="0"/>
          <w:numId w:val="3"/>
        </w:numPr>
        <w:tabs>
          <w:tab w:val="left" w:pos="3969"/>
        </w:tabs>
        <w:ind w:left="425" w:hanging="425"/>
        <w:jc w:val="both"/>
        <w:rPr>
          <w:rFonts w:ascii="Arial" w:cs="Arial" w:eastAsia="Arial" w:hAnsi="Arial"/>
        </w:rPr>
      </w:pPr>
      <w:r w:rsidDel="00000000" w:rsidR="00000000" w:rsidRPr="00000000">
        <w:rPr>
          <w:rFonts w:ascii="Arial" w:cs="Arial" w:eastAsia="Arial" w:hAnsi="Arial"/>
          <w:sz w:val="24"/>
          <w:szCs w:val="24"/>
          <w:rtl w:val="0"/>
        </w:rPr>
        <w:t xml:space="preserve">Levantar la confidencialidad del expediente de la Licitación y de este acuerdo al momento de la publicación en el Diario Oficial del Estado Costarricense, La Gaceta.</w:t>
      </w:r>
    </w:p>
    <w:p w:rsidR="00000000" w:rsidDel="00000000" w:rsidP="00000000" w:rsidRDefault="00000000" w:rsidRPr="00000000">
      <w:pPr>
        <w:spacing w:after="0" w:before="0" w:line="240" w:lineRule="auto"/>
        <w:ind w:left="708" w:firstLine="0"/>
        <w:contextualSpacing w:val="0"/>
      </w:pPr>
      <w:r w:rsidDel="00000000" w:rsidR="00000000" w:rsidRPr="00000000">
        <w:rPr>
          <w:rtl w:val="0"/>
        </w:rPr>
      </w:r>
    </w:p>
    <w:p w:rsidR="00000000" w:rsidDel="00000000" w:rsidP="00000000" w:rsidRDefault="00000000" w:rsidRPr="00000000">
      <w:pPr>
        <w:numPr>
          <w:ilvl w:val="0"/>
          <w:numId w:val="3"/>
        </w:numPr>
        <w:tabs>
          <w:tab w:val="left" w:pos="3969"/>
        </w:tabs>
        <w:ind w:left="425" w:hanging="425"/>
        <w:jc w:val="both"/>
        <w:rPr>
          <w:rFonts w:ascii="Arial" w:cs="Arial" w:eastAsia="Arial" w:hAnsi="Arial"/>
          <w:color w:val="7030a0"/>
        </w:rPr>
      </w:pPr>
      <w:r w:rsidDel="00000000" w:rsidR="00000000" w:rsidRPr="00000000">
        <w:rPr>
          <w:rFonts w:ascii="Arial" w:cs="Arial" w:eastAsia="Arial" w:hAnsi="Arial"/>
          <w:sz w:val="24"/>
          <w:szCs w:val="24"/>
          <w:rtl w:val="0"/>
        </w:rPr>
        <w:t xml:space="preserve">Comunicar. </w:t>
      </w:r>
      <w:r w:rsidDel="00000000" w:rsidR="00000000" w:rsidRPr="00000000">
        <w:rPr>
          <w:rFonts w:ascii="Arial" w:cs="Arial" w:eastAsia="Arial" w:hAnsi="Arial"/>
          <w:b w:val="1"/>
          <w:sz w:val="24"/>
          <w:szCs w:val="24"/>
          <w:rtl w:val="0"/>
        </w:rPr>
        <w:t xml:space="preserve">ACUERDO FIRME</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pPr>
        <w:tabs>
          <w:tab w:val="left" w:pos="3969"/>
        </w:tabs>
        <w:ind w:left="425" w:firstLine="0"/>
        <w:contextualSpacing w:val="0"/>
        <w:jc w:val="both"/>
      </w:pPr>
      <w:r w:rsidDel="00000000" w:rsidR="00000000" w:rsidRPr="00000000">
        <w:rPr>
          <w:rtl w:val="0"/>
        </w:rPr>
      </w:r>
    </w:p>
    <w:p w:rsidR="00000000" w:rsidDel="00000000" w:rsidP="00000000" w:rsidRDefault="00000000" w:rsidRPr="00000000">
      <w:pPr>
        <w:tabs>
          <w:tab w:val="left" w:pos="1440"/>
          <w:tab w:val="left" w:pos="3969"/>
        </w:tabs>
        <w:contextualSpacing w:val="0"/>
        <w:jc w:val="both"/>
      </w:pPr>
      <w:r w:rsidDel="00000000" w:rsidR="00000000" w:rsidRPr="00000000">
        <w:rPr>
          <w:rtl w:val="0"/>
        </w:rPr>
      </w:r>
    </w:p>
    <w:p w:rsidR="00000000" w:rsidDel="00000000" w:rsidP="00000000" w:rsidRDefault="00000000" w:rsidRPr="00000000">
      <w:pPr>
        <w:tabs>
          <w:tab w:val="left" w:pos="1440"/>
          <w:tab w:val="left" w:pos="3969"/>
        </w:tabs>
        <w:contextualSpacing w:val="0"/>
        <w:jc w:val="both"/>
      </w:pPr>
      <w:r w:rsidDel="00000000" w:rsidR="00000000" w:rsidRPr="00000000">
        <w:rPr>
          <w:rtl w:val="0"/>
        </w:rPr>
      </w:r>
    </w:p>
    <w:p w:rsidR="00000000" w:rsidDel="00000000" w:rsidP="00000000" w:rsidRDefault="00000000" w:rsidRPr="00000000">
      <w:pPr>
        <w:tabs>
          <w:tab w:val="left" w:pos="1440"/>
          <w:tab w:val="left" w:pos="3969"/>
        </w:tabs>
        <w:contextualSpacing w:val="0"/>
        <w:jc w:val="both"/>
      </w:pPr>
      <w:r w:rsidDel="00000000" w:rsidR="00000000" w:rsidRPr="00000000">
        <w:rPr>
          <w:rtl w:val="0"/>
        </w:rPr>
      </w:r>
    </w:p>
    <w:p w:rsidR="00000000" w:rsidDel="00000000" w:rsidP="00000000" w:rsidRDefault="00000000" w:rsidRPr="00000000">
      <w:pPr>
        <w:tabs>
          <w:tab w:val="left" w:pos="1440"/>
          <w:tab w:val="left" w:pos="3969"/>
        </w:tabs>
        <w:contextualSpacing w:val="0"/>
        <w:jc w:val="both"/>
      </w:pPr>
      <w:r w:rsidDel="00000000" w:rsidR="00000000" w:rsidRPr="00000000">
        <w:rPr>
          <w:rtl w:val="0"/>
        </w:rPr>
      </w:r>
    </w:p>
    <w:p w:rsidR="00000000" w:rsidDel="00000000" w:rsidP="00000000" w:rsidRDefault="00000000" w:rsidRPr="00000000">
      <w:pPr>
        <w:tabs>
          <w:tab w:val="left" w:pos="1440"/>
          <w:tab w:val="left" w:pos="3969"/>
        </w:tabs>
        <w:contextualSpacing w:val="0"/>
        <w:jc w:val="both"/>
      </w:pPr>
      <w:r w:rsidDel="00000000" w:rsidR="00000000" w:rsidRPr="00000000">
        <w:rPr>
          <w:rtl w:val="0"/>
        </w:rPr>
      </w:r>
    </w:p>
    <w:p w:rsidR="00000000" w:rsidDel="00000000" w:rsidP="00000000" w:rsidRDefault="00000000" w:rsidRPr="00000000">
      <w:pPr>
        <w:tabs>
          <w:tab w:val="left" w:pos="1440"/>
          <w:tab w:val="left" w:pos="3969"/>
        </w:tabs>
        <w:contextualSpacing w:val="0"/>
        <w:jc w:val="both"/>
      </w:pPr>
      <w:r w:rsidDel="00000000" w:rsidR="00000000" w:rsidRPr="00000000">
        <w:rPr>
          <w:rtl w:val="0"/>
        </w:rPr>
      </w:r>
    </w:p>
    <w:p w:rsidR="00000000" w:rsidDel="00000000" w:rsidP="00000000" w:rsidRDefault="00000000" w:rsidRPr="00000000">
      <w:pPr>
        <w:tabs>
          <w:tab w:val="left" w:pos="1440"/>
          <w:tab w:val="left" w:pos="3969"/>
        </w:tabs>
        <w:contextualSpacing w:val="0"/>
        <w:jc w:val="both"/>
      </w:pPr>
      <w:r w:rsidDel="00000000" w:rsidR="00000000" w:rsidRPr="00000000">
        <w:rPr>
          <w:rtl w:val="0"/>
        </w:rPr>
      </w:r>
    </w:p>
    <w:p w:rsidR="00000000" w:rsidDel="00000000" w:rsidP="00000000" w:rsidRDefault="00000000" w:rsidRPr="00000000">
      <w:pPr>
        <w:tabs>
          <w:tab w:val="left" w:pos="1440"/>
          <w:tab w:val="left" w:pos="3969"/>
        </w:tabs>
        <w:contextualSpacing w:val="0"/>
        <w:jc w:val="both"/>
      </w:pPr>
      <w:r w:rsidDel="00000000" w:rsidR="00000000" w:rsidRPr="00000000">
        <w:rPr>
          <w:rtl w:val="0"/>
        </w:rPr>
      </w:r>
    </w:p>
    <w:p w:rsidR="00000000" w:rsidDel="00000000" w:rsidP="00000000" w:rsidRDefault="00000000" w:rsidRPr="00000000">
      <w:pPr>
        <w:tabs>
          <w:tab w:val="left" w:pos="1440"/>
          <w:tab w:val="left" w:pos="3969"/>
        </w:tabs>
        <w:contextualSpacing w:val="0"/>
        <w:jc w:val="both"/>
      </w:pPr>
      <w:r w:rsidDel="00000000" w:rsidR="00000000" w:rsidRPr="00000000">
        <w:rPr>
          <w:rtl w:val="0"/>
        </w:rPr>
      </w:r>
    </w:p>
    <w:p w:rsidR="00000000" w:rsidDel="00000000" w:rsidP="00000000" w:rsidRDefault="00000000" w:rsidRPr="00000000">
      <w:pPr>
        <w:tabs>
          <w:tab w:val="left" w:pos="1440"/>
          <w:tab w:val="left" w:pos="3969"/>
        </w:tabs>
        <w:contextualSpacing w:val="0"/>
        <w:jc w:val="both"/>
      </w:pPr>
      <w:r w:rsidDel="00000000" w:rsidR="00000000" w:rsidRPr="00000000">
        <w:rPr>
          <w:rFonts w:ascii="Arial" w:cs="Arial" w:eastAsia="Arial" w:hAnsi="Arial"/>
          <w:b w:val="1"/>
          <w:sz w:val="18"/>
          <w:szCs w:val="18"/>
          <w:rtl w:val="0"/>
        </w:rPr>
        <w:t xml:space="preserve">PALABRAS CLAVE: Confidencial. Adjudicación- Licitación-Pública-Internacional-No.-2015LPI-0009-APITCRBM-Fortalecimiento-Sede Regional-San Carlos-(Docencia)</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sz w:val="18"/>
          <w:szCs w:val="18"/>
          <w:rtl w:val="0"/>
        </w:rPr>
        <w:t xml:space="preserve">BSS/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headerReference r:id="rId5" w:type="default"/>
      <w:footerReference r:id="rId6" w:type="default"/>
      <w:pgSz w:h="15842" w:w="12242"/>
      <w:pgMar w:bottom="1135" w:top="1418" w:left="1701" w:right="175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mbria"/>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252"/>
        <w:tab w:val="right" w:pos="8504"/>
      </w:tabs>
      <w:spacing w:after="709" w:before="0" w:line="240" w:lineRule="auto"/>
      <w:contextualSpacing w:val="0"/>
      <w:jc w:val="center"/>
    </w:pPr>
    <w:fldSimple w:instr="PAGE" w:fldLock="0" w:dirty="0">
      <w:r w:rsidDel="00000000" w:rsidR="00000000" w:rsidRPr="00000000">
        <w:rPr>
          <w:rFonts w:ascii="Times New Roman" w:cs="Times New Roman" w:eastAsia="Times New Roman" w:hAnsi="Times New Roman"/>
          <w:b w:val="0"/>
          <w:sz w:val="20"/>
          <w:szCs w:val="20"/>
        </w:rPr>
      </w:r>
    </w:fldSimple>
    <w:r w:rsidDel="00000000" w:rsidR="00000000" w:rsidRPr="00000000">
      <w:rPr>
        <w:rtl w:val="0"/>
      </w:rPr>
    </w:r>
  </w:p>
  <w:p w:rsidR="00000000" w:rsidDel="00000000" w:rsidP="00000000" w:rsidRDefault="00000000" w:rsidRPr="00000000">
    <w:pPr>
      <w:tabs>
        <w:tab w:val="center" w:pos="4252"/>
        <w:tab w:val="right" w:pos="8504"/>
      </w:tabs>
      <w:spacing w:after="709" w:before="0" w:line="240" w:lineRule="auto"/>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419"/>
        <w:tab w:val="right" w:pos="8838"/>
      </w:tabs>
      <w:spacing w:before="709" w:lineRule="auto"/>
      <w:contextualSpacing w:val="0"/>
    </w:pPr>
    <w:r w:rsidDel="00000000" w:rsidR="00000000" w:rsidRPr="00000000">
      <w:drawing>
        <wp:inline distB="0" distT="0" distL="114300" distR="114300">
          <wp:extent cx="1574800" cy="584200"/>
          <wp:effectExtent b="0" l="0" r="0" t="0"/>
          <wp:docPr descr="Secretaria del Consejo" id="1" name="image01.png"/>
          <a:graphic>
            <a:graphicData uri="http://schemas.openxmlformats.org/drawingml/2006/picture">
              <pic:pic>
                <pic:nvPicPr>
                  <pic:cNvPr descr="Secretaria del Consejo" id="0" name="image01.png"/>
                  <pic:cNvPicPr preferRelativeResize="0"/>
                </pic:nvPicPr>
                <pic:blipFill>
                  <a:blip r:embed="rId1"/>
                  <a:srcRect b="0" l="0" r="0" t="0"/>
                  <a:stretch>
                    <a:fillRect/>
                  </a:stretch>
                </pic:blipFill>
                <pic:spPr>
                  <a:xfrm>
                    <a:off x="0" y="0"/>
                    <a:ext cx="1574800" cy="584200"/>
                  </a:xfrm>
                  <a:prstGeom prst="rect"/>
                  <a:ln/>
                </pic:spPr>
              </pic:pic>
            </a:graphicData>
          </a:graphic>
        </wp:inline>
      </w:drawing>
    </w:r>
    <w:r w:rsidDel="00000000" w:rsidR="00000000" w:rsidRPr="00000000">
      <w:rPr>
        <w:rtl w:val="0"/>
      </w:rPr>
    </w:r>
  </w:p>
  <w:p w:rsidR="00000000" w:rsidDel="00000000" w:rsidP="00000000" w:rsidRDefault="00000000" w:rsidRPr="00000000">
    <w:pPr>
      <w:ind w:right="-40"/>
      <w:contextualSpacing w:val="0"/>
    </w:pPr>
    <w:r w:rsidDel="00000000" w:rsidR="00000000" w:rsidRPr="00000000">
      <w:rPr>
        <w:rFonts w:ascii="Arial" w:cs="Arial" w:eastAsia="Arial" w:hAnsi="Arial"/>
        <w:b w:val="1"/>
        <w:i w:val="1"/>
        <w:sz w:val="18"/>
        <w:szCs w:val="18"/>
        <w:rtl w:val="0"/>
      </w:rPr>
      <w:t xml:space="preserve">COMUNICACIÓN DE ACUERDO</w:t>
    </w:r>
  </w:p>
  <w:p w:rsidR="00000000" w:rsidDel="00000000" w:rsidP="00000000" w:rsidRDefault="00000000" w:rsidRPr="00000000">
    <w:pPr>
      <w:ind w:right="584"/>
      <w:contextualSpacing w:val="0"/>
      <w:jc w:val="both"/>
    </w:pPr>
    <w:r w:rsidDel="00000000" w:rsidR="00000000" w:rsidRPr="00000000">
      <w:rPr>
        <w:rFonts w:ascii="Arial" w:cs="Arial" w:eastAsia="Arial" w:hAnsi="Arial"/>
        <w:i w:val="1"/>
        <w:sz w:val="18"/>
        <w:szCs w:val="18"/>
        <w:rtl w:val="0"/>
      </w:rPr>
      <w:t xml:space="preserve">Sesión Ordinaria No. 2883, Artículo 9  del 03 de setiembre  de 2014</w:t>
    </w:r>
  </w:p>
  <w:p w:rsidR="00000000" w:rsidDel="00000000" w:rsidP="00000000" w:rsidRDefault="00000000" w:rsidRPr="00000000">
    <w:pPr>
      <w:tabs>
        <w:tab w:val="center" w:pos="4419"/>
        <w:tab w:val="right" w:pos="8838"/>
      </w:tabs>
      <w:contextualSpacing w:val="0"/>
    </w:pPr>
    <w:r w:rsidDel="00000000" w:rsidR="00000000" w:rsidRPr="00000000">
      <w:rPr>
        <w:rFonts w:ascii="Arial" w:cs="Arial" w:eastAsia="Arial" w:hAnsi="Arial"/>
        <w:i w:val="1"/>
        <w:sz w:val="18"/>
        <w:szCs w:val="18"/>
        <w:rtl w:val="0"/>
      </w:rPr>
      <w:t xml:space="preserve">Página </w:t>
    </w:r>
    <w:fldSimple w:instr="PAGE" w:fldLock="0" w:dirty="0">
      <w:r w:rsidDel="00000000" w:rsidR="00000000" w:rsidRPr="00000000">
        <w:rPr>
          <w:rFonts w:ascii="Arial" w:cs="Arial" w:eastAsia="Arial" w:hAnsi="Arial"/>
          <w:i w:val="1"/>
          <w:sz w:val="18"/>
          <w:szCs w:val="18"/>
        </w:rPr>
      </w:r>
    </w:fldSimple>
    <w:r w:rsidDel="00000000" w:rsidR="00000000" w:rsidRPr="00000000">
      <w:rPr>
        <w:rtl w:val="0"/>
      </w:rPr>
    </w:r>
  </w:p>
  <w:p w:rsidR="00000000" w:rsidDel="00000000" w:rsidP="00000000" w:rsidRDefault="00000000" w:rsidRPr="00000000">
    <w:pPr>
      <w:tabs>
        <w:tab w:val="center" w:pos="4252"/>
        <w:tab w:val="right" w:pos="8504"/>
      </w:tabs>
      <w:spacing w:after="0" w:before="0"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decimal"/>
      <w:lvlText w:val="%1."/>
      <w:lvlJc w:val="left"/>
      <w:pPr>
        <w:ind w:left="360" w:firstLine="0"/>
      </w:pPr>
      <w:rPr>
        <w:b w:val="1"/>
        <w:i w:val="0"/>
      </w:rPr>
    </w:lvl>
    <w:lvl w:ilvl="1">
      <w:start w:val="1"/>
      <w:numFmt w:val="decimal"/>
      <w:lvlText w:val="%1.%2."/>
      <w:lvlJc w:val="left"/>
      <w:pPr>
        <w:ind w:left="792" w:firstLine="360"/>
      </w:pPr>
      <w:rPr>
        <w:b w:val="1"/>
      </w:rPr>
    </w:lvl>
    <w:lvl w:ilvl="2">
      <w:start w:val="1"/>
      <w:numFmt w:val="decimal"/>
      <w:lvlText w:val="%1.%2.%3."/>
      <w:lvlJc w:val="left"/>
      <w:pPr>
        <w:ind w:left="3765" w:firstLine="3261"/>
      </w:pPr>
      <w:rPr>
        <w:b w:val="1"/>
      </w:rPr>
    </w:lvl>
    <w:lvl w:ilvl="3">
      <w:start w:val="1"/>
      <w:numFmt w:val="decimal"/>
      <w:lvlText w:val="%1.%2.%3.%4."/>
      <w:lvlJc w:val="left"/>
      <w:pPr>
        <w:ind w:left="1728" w:firstLine="1080.0000000000002"/>
      </w:pPr>
      <w:rPr/>
    </w:lvl>
    <w:lvl w:ilvl="4">
      <w:start w:val="1"/>
      <w:numFmt w:val="decimal"/>
      <w:lvlText w:val="%1.%2.%3.%4.%5."/>
      <w:lvlJc w:val="left"/>
      <w:pPr>
        <w:ind w:left="2232" w:firstLine="1440"/>
      </w:pPr>
      <w:rPr/>
    </w:lvl>
    <w:lvl w:ilvl="5">
      <w:start w:val="1"/>
      <w:numFmt w:val="decimal"/>
      <w:lvlText w:val="%1.%2.%3.%4.%5.%6."/>
      <w:lvlJc w:val="left"/>
      <w:pPr>
        <w:ind w:left="2736" w:firstLine="1800.0000000000002"/>
      </w:pPr>
      <w:rPr/>
    </w:lvl>
    <w:lvl w:ilvl="6">
      <w:start w:val="1"/>
      <w:numFmt w:val="decimal"/>
      <w:lvlText w:val="%1.%2.%3.%4.%5.%6.%7."/>
      <w:lvlJc w:val="left"/>
      <w:pPr>
        <w:ind w:left="3240" w:firstLine="2160"/>
      </w:pPr>
      <w:rPr/>
    </w:lvl>
    <w:lvl w:ilvl="7">
      <w:start w:val="1"/>
      <w:numFmt w:val="decimal"/>
      <w:lvlText w:val="%1.%2.%3.%4.%5.%6.%7.%8."/>
      <w:lvlJc w:val="left"/>
      <w:pPr>
        <w:ind w:left="3744" w:firstLine="2519.9999999999995"/>
      </w:pPr>
      <w:rPr/>
    </w:lvl>
    <w:lvl w:ilvl="8">
      <w:start w:val="1"/>
      <w:numFmt w:val="decimal"/>
      <w:lvlText w:val="%1.%2.%3.%4.%5.%6.%7.%8.%9."/>
      <w:lvlJc w:val="left"/>
      <w:pPr>
        <w:ind w:left="4320" w:firstLine="2880"/>
      </w:pPr>
      <w:rPr/>
    </w:lvl>
  </w:abstractNum>
  <w:abstractNum w:abstractNumId="3">
    <w:lvl w:ilvl="0">
      <w:start w:val="1"/>
      <w:numFmt w:val="lowerLetter"/>
      <w:lvlText w:val="%1."/>
      <w:lvlJc w:val="left"/>
      <w:pPr>
        <w:ind w:left="360" w:firstLine="0"/>
      </w:pPr>
      <w:rPr>
        <w:b w:val="1"/>
        <w:i w:val="0"/>
        <w:sz w:val="24"/>
        <w:szCs w:val="24"/>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240" w:lineRule="auto"/>
      <w:jc w:val="both"/>
    </w:pPr>
    <w:rPr>
      <w:rFonts w:ascii="Cambria" w:cs="Cambria" w:eastAsia="Cambria" w:hAnsi="Cambria"/>
      <w:b w:val="1"/>
      <w:sz w:val="32"/>
      <w:szCs w:val="32"/>
    </w:rPr>
  </w:style>
  <w:style w:type="paragraph" w:styleId="Heading2">
    <w:name w:val="heading 2"/>
    <w:basedOn w:val="Normal"/>
    <w:next w:val="Normal"/>
    <w:pPr>
      <w:keepNext w:val="1"/>
      <w:keepLines w:val="1"/>
      <w:spacing w:after="60" w:before="240" w:line="240" w:lineRule="auto"/>
    </w:pPr>
    <w:rPr>
      <w:rFonts w:ascii="Arial" w:cs="Arial" w:eastAsia="Arial" w:hAnsi="Arial"/>
      <w:b w:val="1"/>
      <w:i w:val="1"/>
      <w:sz w:val="28"/>
      <w:szCs w:val="28"/>
    </w:rPr>
  </w:style>
  <w:style w:type="paragraph" w:styleId="Heading3">
    <w:name w:val="heading 3"/>
    <w:basedOn w:val="Normal"/>
    <w:next w:val="Normal"/>
    <w:pPr>
      <w:keepNext w:val="1"/>
      <w:keepLines w:val="1"/>
      <w:spacing w:after="0" w:before="60" w:line="240" w:lineRule="auto"/>
      <w:jc w:val="both"/>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spacing w:after="60" w:before="240" w:line="240" w:lineRule="auto"/>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spacing w:after="0" w:before="40" w:line="240" w:lineRule="auto"/>
    </w:pPr>
    <w:rPr>
      <w:rFonts w:ascii="Cambria" w:cs="Cambria" w:eastAsia="Cambria" w:hAnsi="Cambria"/>
      <w:b w:val="0"/>
      <w:color w:val="366091"/>
      <w:sz w:val="20"/>
      <w:szCs w:val="20"/>
    </w:rPr>
  </w:style>
  <w:style w:type="paragraph" w:styleId="Heading6">
    <w:name w:val="heading 6"/>
    <w:basedOn w:val="Normal"/>
    <w:next w:val="Normal"/>
    <w:pPr>
      <w:keepNext w:val="1"/>
      <w:keepLines w:val="1"/>
      <w:spacing w:after="60" w:before="240" w:line="240" w:lineRule="auto"/>
    </w:pPr>
    <w:rPr>
      <w:rFonts w:ascii="Times New Roman" w:cs="Times New Roman" w:eastAsia="Times New Roman" w:hAnsi="Times New Roman"/>
      <w:b w:val="1"/>
      <w:i w:val="1"/>
      <w:sz w:val="22"/>
      <w:szCs w:val="22"/>
    </w:rPr>
  </w:style>
  <w:style w:type="paragraph" w:styleId="Title">
    <w:name w:val="Title"/>
    <w:basedOn w:val="Normal"/>
    <w:next w:val="Normal"/>
    <w:pPr>
      <w:keepNext w:val="1"/>
      <w:keepLines w:val="1"/>
      <w:spacing w:after="0" w:before="0" w:line="240" w:lineRule="auto"/>
      <w:jc w:val="center"/>
    </w:pPr>
    <w:rPr>
      <w:rFonts w:ascii="Arial" w:cs="Arial" w:eastAsia="Arial" w:hAnsi="Arial"/>
      <w:b w:val="1"/>
      <w:sz w:val="22"/>
      <w:szCs w:val="2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