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SCI-342-2014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 Calvo A,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Vida Estudiantil y Servicios. Académicos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Erick Mata, Director Dirección de Posgrado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 Esteban Chacón Solano, Presidente de la FEITEC</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28 de mayo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left" w:pos="0"/>
              </w:tabs>
              <w:ind w:left="34" w:hanging="1.0000000000000009"/>
              <w:contextualSpacing w:val="0"/>
              <w:jc w:val="both"/>
            </w:pPr>
            <w:r w:rsidDel="00000000" w:rsidR="00000000" w:rsidRPr="00000000">
              <w:rPr>
                <w:rFonts w:ascii="Arial" w:cs="Arial" w:eastAsia="Arial" w:hAnsi="Arial"/>
                <w:b w:val="1"/>
                <w:sz w:val="22"/>
                <w:szCs w:val="22"/>
                <w:vertAlign w:val="baseline"/>
                <w:rtl w:val="0"/>
              </w:rPr>
              <w:t xml:space="preserve">Sesión Ordinaria No. 2870 Artículo 9, del 28 de mayo de 2014.  </w:t>
            </w:r>
            <w:r w:rsidDel="00000000" w:rsidR="00000000" w:rsidRPr="00000000">
              <w:rPr>
                <w:rFonts w:ascii="Arial" w:cs="Arial" w:eastAsia="Arial" w:hAnsi="Arial"/>
                <w:b w:val="1"/>
                <w:vertAlign w:val="baseline"/>
                <w:rtl w:val="0"/>
              </w:rPr>
              <w:t xml:space="preserve">Integración de una Comisión Especial que analice y proponga una Reforma integral al Reglamento de Enseñanza Aprendizaje del ITCR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18, inciso f, establece:</w:t>
      </w:r>
      <w:r w:rsidDel="00000000" w:rsidR="00000000" w:rsidRPr="00000000">
        <w:rPr>
          <w:rtl w:val="0"/>
        </w:rPr>
      </w:r>
    </w:p>
    <w:p w:rsidR="00000000" w:rsidDel="00000000" w:rsidP="00000000" w:rsidRDefault="00000000" w:rsidRPr="00000000">
      <w:pPr>
        <w:ind w:left="-23"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09"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Normalización Institucional, en su Artículo 2, dice:</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“La reglamentación interna debe estar orientada a los siguientes fines y objetivos.</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Toda normativa que se cree, modifique y apruebe en el ITCR, debe considerar la búsqueda de la eficiencia, agilidad y prontitud en los distintos procesos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del Régimen de Enseñanza Aprendizaje fue aprobado por el Consejo Institucional en Sesión No. 1334, Artículo 22, celebrada el 20 de febrero de 1986 y publicado en la Gaceta No. 33, del ITCR.</w:t>
      </w:r>
      <w:r w:rsidDel="00000000" w:rsidR="00000000" w:rsidRPr="00000000">
        <w:rPr>
          <w:rtl w:val="0"/>
        </w:rPr>
      </w:r>
    </w:p>
    <w:p w:rsidR="00000000" w:rsidDel="00000000" w:rsidP="00000000" w:rsidRDefault="00000000" w:rsidRPr="00000000">
      <w:pPr>
        <w:ind w:left="851" w:right="30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Desde su aprobación, este Reglamento ha sido  modificado en forma reiterada,  dentro las  modificaciones más recientes, se citan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851"/>
        </w:tabs>
        <w:ind w:left="851" w:right="476"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Sesión Ordinaria No. 2782 Artículo 9, del 12 de setiembre del 2012.   Modificación de los Artículos 34 y 45 del Reglamento del Régimen de Enseñanza Aprendizaje del Instituto Tecnológico de Costa Rica.</w:t>
      </w:r>
      <w:r w:rsidDel="00000000" w:rsidR="00000000" w:rsidRPr="00000000">
        <w:rPr>
          <w:rtl w:val="0"/>
        </w:rPr>
      </w:r>
    </w:p>
    <w:p w:rsidR="00000000" w:rsidDel="00000000" w:rsidP="00000000" w:rsidRDefault="00000000" w:rsidRPr="00000000">
      <w:pPr>
        <w:tabs>
          <w:tab w:val="right" w:pos="2410"/>
          <w:tab w:val="left" w:pos="2694"/>
        </w:tabs>
        <w:ind w:right="476"/>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851"/>
        </w:tabs>
        <w:ind w:left="851" w:right="476"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Sesión Ordinaria No. 2828 Artículo 13, del 17 de julio de 2013.  Modificación del Artículo 41 del Reglamento del Régimen de Enseñanza-Aprendizaje del Instituto Tecnológico de Costa Rica y sus Reformas</w:t>
      </w:r>
      <w:r w:rsidDel="00000000" w:rsidR="00000000" w:rsidRPr="00000000">
        <w:rPr>
          <w:rtl w:val="0"/>
        </w:rPr>
      </w:r>
    </w:p>
    <w:p w:rsidR="00000000" w:rsidDel="00000000" w:rsidP="00000000" w:rsidRDefault="00000000" w:rsidRPr="00000000">
      <w:pPr>
        <w:tabs>
          <w:tab w:val="right" w:pos="851"/>
        </w:tabs>
        <w:ind w:right="476"/>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851"/>
        </w:tabs>
        <w:ind w:left="851" w:right="476"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Sesión Ordinaria No. 2836 Artículo 9, del 11 de setiembre de 2013.  Modificación al Artículo 85 del Reglamento de Régimen de Enseñanza-Aprendizaje del Instituto Tecnológico de Costa Rica</w:t>
      </w:r>
      <w:r w:rsidDel="00000000" w:rsidR="00000000" w:rsidRPr="00000000">
        <w:rPr>
          <w:rtl w:val="0"/>
        </w:rPr>
      </w:r>
    </w:p>
    <w:p w:rsidR="00000000" w:rsidDel="00000000" w:rsidP="00000000" w:rsidRDefault="00000000" w:rsidRPr="00000000">
      <w:pPr>
        <w:tabs>
          <w:tab w:val="right" w:pos="851"/>
        </w:tabs>
        <w:ind w:right="476"/>
        <w:contextualSpacing w:val="0"/>
        <w:jc w:val="both"/>
      </w:pPr>
      <w:r w:rsidDel="00000000" w:rsidR="00000000" w:rsidRPr="00000000">
        <w:rPr>
          <w:rtl w:val="0"/>
        </w:rPr>
      </w:r>
    </w:p>
    <w:p w:rsidR="00000000" w:rsidDel="00000000" w:rsidP="00000000" w:rsidRDefault="00000000" w:rsidRPr="00000000">
      <w:pPr>
        <w:numPr>
          <w:ilvl w:val="0"/>
          <w:numId w:val="3"/>
        </w:numPr>
        <w:tabs>
          <w:tab w:val="right" w:pos="851"/>
        </w:tabs>
        <w:ind w:left="851" w:right="476"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Sesión Ordinaria No. 2854 Artículo 12, del 29 de enero de 2014.  Modificación del Artículo 23 del Reglamento del Régimen de Enseñanza-Aprendizaje del Instituto Tecnológico de Costa Rica y sus Reformas.</w:t>
      </w:r>
      <w:r w:rsidDel="00000000" w:rsidR="00000000" w:rsidRPr="00000000">
        <w:rPr>
          <w:rtl w:val="0"/>
        </w:rPr>
      </w:r>
    </w:p>
    <w:p w:rsidR="00000000" w:rsidDel="00000000" w:rsidP="00000000" w:rsidRDefault="00000000" w:rsidRPr="00000000">
      <w:pPr>
        <w:tabs>
          <w:tab w:val="right" w:pos="2410"/>
          <w:tab w:val="left" w:pos="2694"/>
        </w:tabs>
        <w:ind w:right="476"/>
        <w:contextualSpacing w:val="0"/>
        <w:jc w:val="both"/>
      </w:pPr>
      <w:r w:rsidDel="00000000" w:rsidR="00000000" w:rsidRPr="00000000">
        <w:rPr>
          <w:rtl w:val="0"/>
        </w:rPr>
      </w:r>
    </w:p>
    <w:p w:rsidR="00000000" w:rsidDel="00000000" w:rsidP="00000000" w:rsidRDefault="00000000" w:rsidRPr="00000000">
      <w:pPr>
        <w:numPr>
          <w:ilvl w:val="0"/>
          <w:numId w:val="2"/>
        </w:numPr>
        <w:ind w:left="131" w:right="51" w:hanging="357"/>
        <w:jc w:val="both"/>
        <w:rPr>
          <w:rFonts w:ascii="Arial" w:cs="Arial" w:eastAsia="Arial" w:hAnsi="Arial"/>
          <w:i w:val="0"/>
          <w:sz w:val="22"/>
          <w:szCs w:val="22"/>
        </w:rPr>
      </w:pPr>
      <w:r w:rsidDel="00000000" w:rsidR="00000000" w:rsidRPr="00000000">
        <w:rPr>
          <w:rFonts w:ascii="Arial" w:cs="Arial" w:eastAsia="Arial" w:hAnsi="Arial"/>
          <w:vertAlign w:val="baseline"/>
          <w:rtl w:val="0"/>
        </w:rPr>
        <w:t xml:space="preserve">La Comisión de Asuntos Académicos tiene en análisis cuatro solicitudes de Modificación al Reglamento de Enseñanza Aprendizaje, que provienen de diferentes instancias institucionales, según el siguiente detalle: </w:t>
      </w:r>
      <w:r w:rsidDel="00000000" w:rsidR="00000000" w:rsidRPr="00000000">
        <w:rPr>
          <w:rtl w:val="0"/>
        </w:rPr>
      </w:r>
    </w:p>
    <w:p w:rsidR="00000000" w:rsidDel="00000000" w:rsidP="00000000" w:rsidRDefault="00000000" w:rsidRPr="00000000">
      <w:pPr>
        <w:ind w:right="476"/>
        <w:contextualSpacing w:val="0"/>
        <w:jc w:val="both"/>
      </w:pPr>
      <w:r w:rsidDel="00000000" w:rsidR="00000000" w:rsidRPr="00000000">
        <w:rPr>
          <w:rtl w:val="0"/>
        </w:rPr>
      </w:r>
    </w:p>
    <w:tbl>
      <w:tblPr>
        <w:tblStyle w:val="Table2"/>
        <w:bidi w:val="0"/>
        <w:tblW w:w="8222.0" w:type="dxa"/>
        <w:jc w:val="left"/>
        <w:tblInd w:w="45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2"/>
        <w:gridCol w:w="3260"/>
        <w:tblGridChange w:id="0">
          <w:tblGrid>
            <w:gridCol w:w="4962"/>
            <w:gridCol w:w="3260"/>
          </w:tblGrid>
        </w:tblGridChange>
      </w:tblGrid>
      <w:tr>
        <w:tc>
          <w:tcPr/>
          <w:p w:rsidR="00000000" w:rsidDel="00000000" w:rsidP="00000000" w:rsidRDefault="00000000" w:rsidRPr="00000000">
            <w:pPr>
              <w:ind w:right="476"/>
              <w:contextualSpacing w:val="0"/>
              <w:jc w:val="center"/>
            </w:pPr>
            <w:r w:rsidDel="00000000" w:rsidR="00000000" w:rsidRPr="00000000">
              <w:rPr>
                <w:rFonts w:ascii="Arial" w:cs="Arial" w:eastAsia="Arial" w:hAnsi="Arial"/>
                <w:b w:val="1"/>
                <w:i w:val="1"/>
                <w:sz w:val="22"/>
                <w:szCs w:val="22"/>
                <w:vertAlign w:val="baseline"/>
                <w:rtl w:val="0"/>
              </w:rPr>
              <w:t xml:space="preserve">Depto. Solicitante</w:t>
            </w:r>
            <w:r w:rsidDel="00000000" w:rsidR="00000000" w:rsidRPr="00000000">
              <w:rPr>
                <w:rtl w:val="0"/>
              </w:rPr>
            </w:r>
          </w:p>
        </w:tc>
        <w:tc>
          <w:tcPr/>
          <w:p w:rsidR="00000000" w:rsidDel="00000000" w:rsidP="00000000" w:rsidRDefault="00000000" w:rsidRPr="00000000">
            <w:pPr>
              <w:ind w:right="476"/>
              <w:contextualSpacing w:val="0"/>
              <w:jc w:val="center"/>
            </w:pPr>
            <w:r w:rsidDel="00000000" w:rsidR="00000000" w:rsidRPr="00000000">
              <w:rPr>
                <w:rFonts w:ascii="Arial" w:cs="Arial" w:eastAsia="Arial" w:hAnsi="Arial"/>
                <w:b w:val="1"/>
                <w:i w:val="1"/>
                <w:sz w:val="22"/>
                <w:szCs w:val="22"/>
                <w:vertAlign w:val="baseline"/>
                <w:rtl w:val="0"/>
              </w:rPr>
              <w:t xml:space="preserve">Artículo</w:t>
            </w:r>
            <w:r w:rsidDel="00000000" w:rsidR="00000000" w:rsidRPr="00000000">
              <w:rPr>
                <w:rtl w:val="0"/>
              </w:rPr>
            </w:r>
          </w:p>
        </w:tc>
      </w:tr>
      <w:tr>
        <w:tc>
          <w:tcPr/>
          <w:p w:rsidR="00000000" w:rsidDel="00000000" w:rsidP="00000000" w:rsidRDefault="00000000" w:rsidRPr="00000000">
            <w:pPr>
              <w:ind w:right="476"/>
              <w:contextualSpacing w:val="0"/>
              <w:jc w:val="both"/>
            </w:pPr>
            <w:r w:rsidDel="00000000" w:rsidR="00000000" w:rsidRPr="00000000">
              <w:rPr>
                <w:rtl w:val="0"/>
              </w:rPr>
            </w:r>
          </w:p>
        </w:tc>
        <w:tc>
          <w:tcPr/>
          <w:p w:rsidR="00000000" w:rsidDel="00000000" w:rsidP="00000000" w:rsidRDefault="00000000" w:rsidRPr="00000000">
            <w:pPr>
              <w:ind w:right="476"/>
              <w:contextualSpacing w:val="0"/>
              <w:jc w:val="both"/>
            </w:pPr>
            <w:r w:rsidDel="00000000" w:rsidR="00000000" w:rsidRPr="00000000">
              <w:rPr>
                <w:rtl w:val="0"/>
              </w:rPr>
            </w:r>
          </w:p>
        </w:tc>
      </w:tr>
      <w:tr>
        <w:tc>
          <w:tcPr/>
          <w:p w:rsidR="00000000" w:rsidDel="00000000" w:rsidP="00000000" w:rsidRDefault="00000000" w:rsidRPr="00000000">
            <w:pPr>
              <w:ind w:right="33"/>
              <w:contextualSpacing w:val="0"/>
              <w:jc w:val="both"/>
            </w:pPr>
            <w:r w:rsidDel="00000000" w:rsidR="00000000" w:rsidRPr="00000000">
              <w:rPr>
                <w:rFonts w:ascii="Arial" w:cs="Arial" w:eastAsia="Arial" w:hAnsi="Arial"/>
                <w:i w:val="1"/>
                <w:sz w:val="22"/>
                <w:szCs w:val="22"/>
                <w:vertAlign w:val="baseline"/>
                <w:rtl w:val="0"/>
              </w:rPr>
              <w:t xml:space="preserve">Federación Estudiantes</w:t>
            </w:r>
            <w:r w:rsidDel="00000000" w:rsidR="00000000" w:rsidRPr="00000000">
              <w:rPr>
                <w:rtl w:val="0"/>
              </w:rPr>
            </w:r>
          </w:p>
          <w:p w:rsidR="00000000" w:rsidDel="00000000" w:rsidP="00000000" w:rsidRDefault="00000000" w:rsidRPr="00000000">
            <w:pPr>
              <w:ind w:right="476"/>
              <w:contextualSpacing w:val="0"/>
              <w:jc w:val="both"/>
            </w:pPr>
            <w:r w:rsidDel="00000000" w:rsidR="00000000" w:rsidRPr="00000000">
              <w:rPr>
                <w:rFonts w:ascii="Arial" w:cs="Arial" w:eastAsia="Arial" w:hAnsi="Arial"/>
                <w:b w:val="1"/>
                <w:i w:val="1"/>
                <w:sz w:val="22"/>
                <w:szCs w:val="22"/>
                <w:vertAlign w:val="baseline"/>
                <w:rtl w:val="0"/>
              </w:rPr>
              <w:t xml:space="preserve">FEITEC-152-2014 / 11 marzo, 2014</w:t>
            </w:r>
            <w:r w:rsidDel="00000000" w:rsidR="00000000" w:rsidRPr="00000000">
              <w:rPr>
                <w:rtl w:val="0"/>
              </w:rPr>
            </w:r>
          </w:p>
        </w:tc>
        <w:tc>
          <w:tcPr/>
          <w:p w:rsidR="00000000" w:rsidDel="00000000" w:rsidP="00000000" w:rsidRDefault="00000000" w:rsidRPr="00000000">
            <w:pPr>
              <w:ind w:right="79"/>
              <w:contextualSpacing w:val="0"/>
              <w:jc w:val="both"/>
            </w:pPr>
            <w:r w:rsidDel="00000000" w:rsidR="00000000" w:rsidRPr="00000000">
              <w:rPr>
                <w:rFonts w:ascii="Arial" w:cs="Arial" w:eastAsia="Arial" w:hAnsi="Arial"/>
                <w:i w:val="1"/>
                <w:sz w:val="22"/>
                <w:szCs w:val="22"/>
                <w:vertAlign w:val="baseline"/>
                <w:rtl w:val="0"/>
              </w:rPr>
              <w:t xml:space="preserve">Modificación </w:t>
            </w:r>
            <w:r w:rsidDel="00000000" w:rsidR="00000000" w:rsidRPr="00000000">
              <w:rPr>
                <w:rFonts w:ascii="Arial" w:cs="Arial" w:eastAsia="Arial" w:hAnsi="Arial"/>
                <w:b w:val="1"/>
                <w:i w:val="1"/>
                <w:sz w:val="22"/>
                <w:szCs w:val="22"/>
                <w:vertAlign w:val="baseline"/>
                <w:rtl w:val="0"/>
              </w:rPr>
              <w:t xml:space="preserve">Articulo 10</w:t>
            </w:r>
            <w:r w:rsidDel="00000000" w:rsidR="00000000" w:rsidRPr="00000000">
              <w:rPr>
                <w:rtl w:val="0"/>
              </w:rPr>
            </w:r>
          </w:p>
        </w:tc>
      </w:tr>
      <w:tr>
        <w:tc>
          <w:tcPr/>
          <w:p w:rsidR="00000000" w:rsidDel="00000000" w:rsidP="00000000" w:rsidRDefault="00000000" w:rsidRPr="00000000">
            <w:pPr>
              <w:ind w:right="33"/>
              <w:contextualSpacing w:val="0"/>
            </w:pPr>
            <w:r w:rsidDel="00000000" w:rsidR="00000000" w:rsidRPr="00000000">
              <w:rPr>
                <w:rFonts w:ascii="Arial" w:cs="Arial" w:eastAsia="Arial" w:hAnsi="Arial"/>
                <w:i w:val="1"/>
                <w:sz w:val="22"/>
                <w:szCs w:val="22"/>
                <w:vertAlign w:val="baseline"/>
                <w:rtl w:val="0"/>
              </w:rPr>
              <w:t xml:space="preserve">Oficina Planificación Inst.</w:t>
            </w:r>
            <w:r w:rsidDel="00000000" w:rsidR="00000000" w:rsidRPr="00000000">
              <w:rPr>
                <w:rtl w:val="0"/>
              </w:rPr>
            </w:r>
          </w:p>
          <w:p w:rsidR="00000000" w:rsidDel="00000000" w:rsidP="00000000" w:rsidRDefault="00000000" w:rsidRPr="00000000">
            <w:pPr>
              <w:ind w:right="34"/>
              <w:contextualSpacing w:val="0"/>
            </w:pPr>
            <w:r w:rsidDel="00000000" w:rsidR="00000000" w:rsidRPr="00000000">
              <w:rPr>
                <w:rFonts w:ascii="Arial" w:cs="Arial" w:eastAsia="Arial" w:hAnsi="Arial"/>
                <w:b w:val="1"/>
                <w:i w:val="1"/>
                <w:sz w:val="22"/>
                <w:szCs w:val="22"/>
                <w:vertAlign w:val="baseline"/>
                <w:rtl w:val="0"/>
              </w:rPr>
              <w:t xml:space="preserve">OPI-223-2014 a solicitud de la Vic. Docencia (ViDa-116-2014) / 3 marzo, 2014</w:t>
            </w:r>
            <w:r w:rsidDel="00000000" w:rsidR="00000000" w:rsidRPr="00000000">
              <w:rPr>
                <w:rtl w:val="0"/>
              </w:rPr>
            </w:r>
          </w:p>
        </w:tc>
        <w:tc>
          <w:tcPr/>
          <w:p w:rsidR="00000000" w:rsidDel="00000000" w:rsidP="00000000" w:rsidRDefault="00000000" w:rsidRPr="00000000">
            <w:pPr>
              <w:ind w:right="476"/>
              <w:contextualSpacing w:val="0"/>
              <w:jc w:val="both"/>
            </w:pPr>
            <w:r w:rsidDel="00000000" w:rsidR="00000000" w:rsidRPr="00000000">
              <w:rPr>
                <w:rFonts w:ascii="Arial" w:cs="Arial" w:eastAsia="Arial" w:hAnsi="Arial"/>
                <w:i w:val="1"/>
                <w:sz w:val="22"/>
                <w:szCs w:val="22"/>
                <w:vertAlign w:val="baseline"/>
                <w:rtl w:val="0"/>
              </w:rPr>
              <w:t xml:space="preserve">Modificación del </w:t>
            </w:r>
            <w:r w:rsidDel="00000000" w:rsidR="00000000" w:rsidRPr="00000000">
              <w:rPr>
                <w:rFonts w:ascii="Arial" w:cs="Arial" w:eastAsia="Arial" w:hAnsi="Arial"/>
                <w:b w:val="1"/>
                <w:i w:val="1"/>
                <w:sz w:val="22"/>
                <w:szCs w:val="22"/>
                <w:vertAlign w:val="baseline"/>
                <w:rtl w:val="0"/>
              </w:rPr>
              <w:t xml:space="preserve">Artículo 75 </w:t>
            </w:r>
            <w:r w:rsidDel="00000000" w:rsidR="00000000" w:rsidRPr="00000000">
              <w:rPr>
                <w:rFonts w:ascii="Arial" w:cs="Arial" w:eastAsia="Arial" w:hAnsi="Arial"/>
                <w:i w:val="1"/>
                <w:sz w:val="22"/>
                <w:szCs w:val="22"/>
                <w:vertAlign w:val="baseline"/>
                <w:rtl w:val="0"/>
              </w:rPr>
              <w:t xml:space="preserve">y creación de un nuevo </w:t>
            </w:r>
            <w:r w:rsidDel="00000000" w:rsidR="00000000" w:rsidRPr="00000000">
              <w:rPr>
                <w:rFonts w:ascii="Arial" w:cs="Arial" w:eastAsia="Arial" w:hAnsi="Arial"/>
                <w:b w:val="1"/>
                <w:i w:val="1"/>
                <w:sz w:val="22"/>
                <w:szCs w:val="22"/>
                <w:vertAlign w:val="baseline"/>
                <w:rtl w:val="0"/>
              </w:rPr>
              <w:t xml:space="preserve">Artículo 76</w:t>
            </w:r>
            <w:r w:rsidDel="00000000" w:rsidR="00000000" w:rsidRPr="00000000">
              <w:rPr>
                <w:rtl w:val="0"/>
              </w:rPr>
            </w:r>
          </w:p>
        </w:tc>
      </w:tr>
      <w:tr>
        <w:tc>
          <w:tcPr/>
          <w:p w:rsidR="00000000" w:rsidDel="00000000" w:rsidP="00000000" w:rsidRDefault="00000000" w:rsidRPr="00000000">
            <w:pPr>
              <w:ind w:right="33"/>
              <w:contextualSpacing w:val="0"/>
              <w:jc w:val="both"/>
            </w:pPr>
            <w:r w:rsidDel="00000000" w:rsidR="00000000" w:rsidRPr="00000000">
              <w:rPr>
                <w:rFonts w:ascii="Arial" w:cs="Arial" w:eastAsia="Arial" w:hAnsi="Arial"/>
                <w:i w:val="1"/>
                <w:sz w:val="22"/>
                <w:szCs w:val="22"/>
                <w:vertAlign w:val="baseline"/>
                <w:rtl w:val="0"/>
              </w:rPr>
              <w:t xml:space="preserve">Vicerrectoría de Investigación</w:t>
            </w:r>
            <w:r w:rsidDel="00000000" w:rsidR="00000000" w:rsidRPr="00000000">
              <w:rPr>
                <w:rtl w:val="0"/>
              </w:rPr>
            </w:r>
          </w:p>
          <w:p w:rsidR="00000000" w:rsidDel="00000000" w:rsidP="00000000" w:rsidRDefault="00000000" w:rsidRPr="00000000">
            <w:pPr>
              <w:ind w:right="33"/>
              <w:contextualSpacing w:val="0"/>
              <w:jc w:val="both"/>
            </w:pPr>
            <w:r w:rsidDel="00000000" w:rsidR="00000000" w:rsidRPr="00000000">
              <w:rPr>
                <w:rFonts w:ascii="Arial" w:cs="Arial" w:eastAsia="Arial" w:hAnsi="Arial"/>
                <w:i w:val="1"/>
                <w:sz w:val="22"/>
                <w:szCs w:val="22"/>
                <w:vertAlign w:val="baseline"/>
                <w:rtl w:val="0"/>
              </w:rPr>
              <w:t xml:space="preserve">Unidad de Posgrado</w:t>
            </w:r>
            <w:r w:rsidDel="00000000" w:rsidR="00000000" w:rsidRPr="00000000">
              <w:rPr>
                <w:rtl w:val="0"/>
              </w:rPr>
            </w:r>
          </w:p>
          <w:p w:rsidR="00000000" w:rsidDel="00000000" w:rsidP="00000000" w:rsidRDefault="00000000" w:rsidRPr="00000000">
            <w:pPr>
              <w:ind w:right="33"/>
              <w:contextualSpacing w:val="0"/>
              <w:jc w:val="both"/>
            </w:pPr>
            <w:r w:rsidDel="00000000" w:rsidR="00000000" w:rsidRPr="00000000">
              <w:rPr>
                <w:rFonts w:ascii="Arial" w:cs="Arial" w:eastAsia="Arial" w:hAnsi="Arial"/>
                <w:b w:val="1"/>
                <w:i w:val="1"/>
                <w:sz w:val="22"/>
                <w:szCs w:val="22"/>
                <w:vertAlign w:val="baseline"/>
                <w:rtl w:val="0"/>
              </w:rPr>
              <w:t xml:space="preserve">VIE-2014-2014 / 21 de marzo, 2014</w:t>
            </w:r>
            <w:r w:rsidDel="00000000" w:rsidR="00000000" w:rsidRPr="00000000">
              <w:rPr>
                <w:rtl w:val="0"/>
              </w:rPr>
            </w:r>
          </w:p>
        </w:tc>
        <w:tc>
          <w:tcPr/>
          <w:p w:rsidR="00000000" w:rsidDel="00000000" w:rsidP="00000000" w:rsidRDefault="00000000" w:rsidRPr="00000000">
            <w:pPr>
              <w:ind w:right="79"/>
              <w:contextualSpacing w:val="0"/>
              <w:jc w:val="both"/>
            </w:pPr>
            <w:r w:rsidDel="00000000" w:rsidR="00000000" w:rsidRPr="00000000">
              <w:rPr>
                <w:rFonts w:ascii="Arial" w:cs="Arial" w:eastAsia="Arial" w:hAnsi="Arial"/>
                <w:i w:val="1"/>
                <w:sz w:val="22"/>
                <w:szCs w:val="22"/>
                <w:vertAlign w:val="baseline"/>
                <w:rtl w:val="0"/>
              </w:rPr>
              <w:t xml:space="preserve">Solicitud del  Consejo de Posgrado derogación modificación del </w:t>
            </w:r>
            <w:r w:rsidDel="00000000" w:rsidR="00000000" w:rsidRPr="00000000">
              <w:rPr>
                <w:rFonts w:ascii="Arial" w:cs="Arial" w:eastAsia="Arial" w:hAnsi="Arial"/>
                <w:b w:val="1"/>
                <w:i w:val="1"/>
                <w:sz w:val="22"/>
                <w:szCs w:val="22"/>
                <w:vertAlign w:val="baseline"/>
                <w:rtl w:val="0"/>
              </w:rPr>
              <w:t xml:space="preserve">Artículo 85</w:t>
            </w:r>
            <w:r w:rsidDel="00000000" w:rsidR="00000000" w:rsidRPr="00000000">
              <w:rPr>
                <w:rtl w:val="0"/>
              </w:rPr>
            </w:r>
          </w:p>
        </w:tc>
      </w:tr>
      <w:tr>
        <w:tc>
          <w:tcPr/>
          <w:p w:rsidR="00000000" w:rsidDel="00000000" w:rsidP="00000000" w:rsidRDefault="00000000" w:rsidRPr="00000000">
            <w:pPr>
              <w:ind w:right="33"/>
              <w:contextualSpacing w:val="0"/>
              <w:jc w:val="both"/>
            </w:pPr>
            <w:r w:rsidDel="00000000" w:rsidR="00000000" w:rsidRPr="00000000">
              <w:rPr>
                <w:rFonts w:ascii="Arial" w:cs="Arial" w:eastAsia="Arial" w:hAnsi="Arial"/>
                <w:i w:val="1"/>
                <w:sz w:val="22"/>
                <w:szCs w:val="22"/>
                <w:vertAlign w:val="baseline"/>
                <w:rtl w:val="0"/>
              </w:rPr>
              <w:t xml:space="preserve">Federación Estudiantes</w:t>
            </w:r>
            <w:r w:rsidDel="00000000" w:rsidR="00000000" w:rsidRPr="00000000">
              <w:rPr>
                <w:rtl w:val="0"/>
              </w:rPr>
            </w:r>
          </w:p>
          <w:p w:rsidR="00000000" w:rsidDel="00000000" w:rsidP="00000000" w:rsidRDefault="00000000" w:rsidRPr="00000000">
            <w:pPr>
              <w:ind w:right="476"/>
              <w:contextualSpacing w:val="0"/>
              <w:jc w:val="both"/>
            </w:pPr>
            <w:r w:rsidDel="00000000" w:rsidR="00000000" w:rsidRPr="00000000">
              <w:rPr>
                <w:rFonts w:ascii="Arial" w:cs="Arial" w:eastAsia="Arial" w:hAnsi="Arial"/>
                <w:b w:val="1"/>
                <w:i w:val="1"/>
                <w:sz w:val="22"/>
                <w:szCs w:val="22"/>
                <w:vertAlign w:val="baseline"/>
                <w:rtl w:val="0"/>
              </w:rPr>
              <w:t xml:space="preserve">FEITEC-245-2014 / 28 abril, 2014</w:t>
            </w:r>
            <w:r w:rsidDel="00000000" w:rsidR="00000000" w:rsidRPr="00000000">
              <w:rPr>
                <w:rtl w:val="0"/>
              </w:rPr>
            </w:r>
          </w:p>
        </w:tc>
        <w:tc>
          <w:tcPr/>
          <w:p w:rsidR="00000000" w:rsidDel="00000000" w:rsidP="00000000" w:rsidRDefault="00000000" w:rsidRPr="00000000">
            <w:pPr>
              <w:ind w:right="79"/>
              <w:contextualSpacing w:val="0"/>
              <w:jc w:val="both"/>
            </w:pPr>
            <w:r w:rsidDel="00000000" w:rsidR="00000000" w:rsidRPr="00000000">
              <w:rPr>
                <w:rFonts w:ascii="Arial" w:cs="Arial" w:eastAsia="Arial" w:hAnsi="Arial"/>
                <w:i w:val="1"/>
                <w:sz w:val="22"/>
                <w:szCs w:val="22"/>
                <w:vertAlign w:val="baseline"/>
                <w:rtl w:val="0"/>
              </w:rPr>
              <w:t xml:space="preserve">Modificación </w:t>
            </w:r>
            <w:r w:rsidDel="00000000" w:rsidR="00000000" w:rsidRPr="00000000">
              <w:rPr>
                <w:rFonts w:ascii="Arial" w:cs="Arial" w:eastAsia="Arial" w:hAnsi="Arial"/>
                <w:b w:val="1"/>
                <w:i w:val="1"/>
                <w:sz w:val="22"/>
                <w:szCs w:val="22"/>
                <w:vertAlign w:val="baseline"/>
                <w:rtl w:val="0"/>
              </w:rPr>
              <w:t xml:space="preserve">Articulo 79</w:t>
            </w:r>
            <w:r w:rsidDel="00000000" w:rsidR="00000000" w:rsidRPr="00000000">
              <w:rPr>
                <w:rtl w:val="0"/>
              </w:rPr>
            </w:r>
          </w:p>
        </w:tc>
      </w:tr>
    </w:tbl>
    <w:p w:rsidR="00000000" w:rsidDel="00000000" w:rsidP="00000000" w:rsidRDefault="00000000" w:rsidRPr="00000000">
      <w:pPr>
        <w:ind w:left="-23"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No. 429-2014, realizada el viernes 23 de mayo, analiza las solicitudes supracitadas en el considerando anterior y  concluye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b w:val="0"/>
          <w:sz w:val="24"/>
          <w:szCs w:val="24"/>
        </w:rPr>
      </w:pPr>
      <w:r w:rsidDel="00000000" w:rsidR="00000000" w:rsidRPr="00000000">
        <w:rPr>
          <w:rFonts w:ascii="Arial" w:cs="Arial" w:eastAsia="Arial" w:hAnsi="Arial"/>
          <w:vertAlign w:val="baseline"/>
          <w:rtl w:val="0"/>
        </w:rPr>
        <w:t xml:space="preserve">No es conveniente estar realizando modificaciones parciales a un Reglamento ya que se puede perder de vista la integralidad del mismo como instrumento.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jc w:val="both"/>
        <w:rPr>
          <w:b w:val="0"/>
          <w:sz w:val="24"/>
          <w:szCs w:val="24"/>
        </w:rPr>
      </w:pPr>
      <w:r w:rsidDel="00000000" w:rsidR="00000000" w:rsidRPr="00000000">
        <w:rPr>
          <w:rFonts w:ascii="Arial" w:cs="Arial" w:eastAsia="Arial" w:hAnsi="Arial"/>
          <w:vertAlign w:val="baseline"/>
          <w:rtl w:val="0"/>
        </w:rPr>
        <w:t xml:space="preserve">Producto de los cambios constantes a un Reglamento, se corre el riesgo de rozar y crear incongruencias con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Por lo que se dispone elevar una propuesta al Consejo Institucional, para conformar una Comisión Especial que analice y proponga una Reforma integral al Reglamento de Enseñanza Aprendizaje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Conformar una Comisión Especial para que analice y proponga una Reforma integral al Reglamento de Enseñanza Aprendizaje del ITCR.</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spacing w:after="120" w:lineRule="auto"/>
        <w:ind w:left="426" w:firstLine="0"/>
        <w:contextualSpacing w:val="0"/>
        <w:jc w:val="both"/>
      </w:pPr>
      <w:r w:rsidDel="00000000" w:rsidR="00000000" w:rsidRPr="00000000">
        <w:rPr>
          <w:rFonts w:ascii="Arial" w:cs="Arial" w:eastAsia="Arial" w:hAnsi="Arial"/>
          <w:vertAlign w:val="baseline"/>
          <w:rtl w:val="0"/>
        </w:rPr>
        <w:t xml:space="preserve">La Comisión estará conformada por:  </w:t>
      </w:r>
      <w:r w:rsidDel="00000000" w:rsidR="00000000" w:rsidRPr="00000000">
        <w:rPr>
          <w:rtl w:val="0"/>
        </w:rPr>
      </w:r>
    </w:p>
    <w:p w:rsidR="00000000" w:rsidDel="00000000" w:rsidP="00000000" w:rsidRDefault="00000000" w:rsidRPr="00000000">
      <w:pPr>
        <w:numPr>
          <w:ilvl w:val="0"/>
          <w:numId w:val="5"/>
        </w:numPr>
        <w:ind w:left="1070" w:right="191" w:hanging="360"/>
        <w:jc w:val="both"/>
        <w:rPr>
          <w:b w:val="0"/>
          <w:sz w:val="24"/>
          <w:szCs w:val="24"/>
        </w:rPr>
      </w:pPr>
      <w:r w:rsidDel="00000000" w:rsidR="00000000" w:rsidRPr="00000000">
        <w:rPr>
          <w:rFonts w:ascii="Arial" w:cs="Arial" w:eastAsia="Arial" w:hAnsi="Arial"/>
          <w:vertAlign w:val="baseline"/>
          <w:rtl w:val="0"/>
        </w:rPr>
        <w:t xml:space="preserve">Dos Representantes del Consejo de Docencia, quien Coordina </w:t>
      </w:r>
      <w:r w:rsidDel="00000000" w:rsidR="00000000" w:rsidRPr="00000000">
        <w:rPr>
          <w:rtl w:val="0"/>
        </w:rPr>
      </w:r>
    </w:p>
    <w:p w:rsidR="00000000" w:rsidDel="00000000" w:rsidP="00000000" w:rsidRDefault="00000000" w:rsidRPr="00000000">
      <w:pPr>
        <w:numPr>
          <w:ilvl w:val="0"/>
          <w:numId w:val="5"/>
        </w:numPr>
        <w:ind w:left="1070" w:right="191" w:hanging="360"/>
        <w:jc w:val="both"/>
        <w:rPr>
          <w:b w:val="0"/>
          <w:sz w:val="24"/>
          <w:szCs w:val="24"/>
        </w:rPr>
      </w:pPr>
      <w:r w:rsidDel="00000000" w:rsidR="00000000" w:rsidRPr="00000000">
        <w:rPr>
          <w:rFonts w:ascii="Arial" w:cs="Arial" w:eastAsia="Arial" w:hAnsi="Arial"/>
          <w:vertAlign w:val="baseline"/>
          <w:rtl w:val="0"/>
        </w:rPr>
        <w:t xml:space="preserve">Un Representante de la Unidad de Estudios de  Postgrado</w:t>
      </w:r>
      <w:r w:rsidDel="00000000" w:rsidR="00000000" w:rsidRPr="00000000">
        <w:rPr>
          <w:rtl w:val="0"/>
        </w:rPr>
      </w:r>
    </w:p>
    <w:p w:rsidR="00000000" w:rsidDel="00000000" w:rsidP="00000000" w:rsidRDefault="00000000" w:rsidRPr="00000000">
      <w:pPr>
        <w:numPr>
          <w:ilvl w:val="0"/>
          <w:numId w:val="5"/>
        </w:numPr>
        <w:ind w:left="1070" w:right="191" w:hanging="360"/>
        <w:jc w:val="both"/>
        <w:rPr>
          <w:b w:val="0"/>
          <w:sz w:val="24"/>
          <w:szCs w:val="24"/>
        </w:rPr>
      </w:pPr>
      <w:r w:rsidDel="00000000" w:rsidR="00000000" w:rsidRPr="00000000">
        <w:rPr>
          <w:rFonts w:ascii="Arial" w:cs="Arial" w:eastAsia="Arial" w:hAnsi="Arial"/>
          <w:vertAlign w:val="baseline"/>
          <w:rtl w:val="0"/>
        </w:rPr>
        <w:t xml:space="preserve">Dos Representante de la FEITEC</w:t>
      </w:r>
      <w:r w:rsidDel="00000000" w:rsidR="00000000" w:rsidRPr="00000000">
        <w:rPr>
          <w:rtl w:val="0"/>
        </w:rPr>
      </w:r>
    </w:p>
    <w:p w:rsidR="00000000" w:rsidDel="00000000" w:rsidP="00000000" w:rsidRDefault="00000000" w:rsidRPr="00000000">
      <w:pPr>
        <w:numPr>
          <w:ilvl w:val="0"/>
          <w:numId w:val="5"/>
        </w:numPr>
        <w:ind w:left="1070" w:right="191" w:hanging="360"/>
        <w:jc w:val="both"/>
        <w:rPr>
          <w:b w:val="0"/>
          <w:sz w:val="24"/>
          <w:szCs w:val="24"/>
        </w:rPr>
      </w:pPr>
      <w:r w:rsidDel="00000000" w:rsidR="00000000" w:rsidRPr="00000000">
        <w:rPr>
          <w:rFonts w:ascii="Arial" w:cs="Arial" w:eastAsia="Arial" w:hAnsi="Arial"/>
          <w:vertAlign w:val="baseline"/>
          <w:rtl w:val="0"/>
        </w:rPr>
        <w:t xml:space="preserve">Un Representante de la VIESA</w:t>
      </w:r>
      <w:r w:rsidDel="00000000" w:rsidR="00000000" w:rsidRPr="00000000">
        <w:rPr>
          <w:rtl w:val="0"/>
        </w:rPr>
      </w:r>
    </w:p>
    <w:p w:rsidR="00000000" w:rsidDel="00000000" w:rsidP="00000000" w:rsidRDefault="00000000" w:rsidRPr="00000000">
      <w:pPr>
        <w:ind w:right="0"/>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Comisión Especial presentar la propuesta recomendativa al Consejo Institucional, antes del 28 de agosto de 2014.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right="-91"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Comisión - Especial  -  Modificación Integral - Enseñanza – Aprendizaje – REEA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 BSS/apmc</w:t>
      </w:r>
      <w:r w:rsidDel="00000000" w:rsidR="00000000" w:rsidRPr="00000000">
        <w:rPr>
          <w:rtl w:val="0"/>
        </w:rPr>
      </w:r>
    </w:p>
    <w:tbl>
      <w:tblPr>
        <w:tblStyle w:val="Table3"/>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Comunicación</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851" w:top="1829" w:left="1134" w:right="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2870, Artículo 9, del 28 de mayo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287" w:firstLine="926.9999999999999"/>
      </w:pPr>
      <w:rPr>
        <w:rFonts w:ascii="Arial" w:cs="Arial" w:eastAsia="Arial" w:hAnsi="Arial"/>
        <w:vertAlign w:val="baseline"/>
      </w:rPr>
    </w:lvl>
    <w:lvl w:ilvl="1">
      <w:start w:val="1"/>
      <w:numFmt w:val="bullet"/>
      <w:lvlText w:val="o"/>
      <w:lvlJc w:val="left"/>
      <w:pPr>
        <w:ind w:left="2007" w:firstLine="1647"/>
      </w:pPr>
      <w:rPr>
        <w:rFonts w:ascii="Arial" w:cs="Arial" w:eastAsia="Arial" w:hAnsi="Arial"/>
        <w:vertAlign w:val="baseline"/>
      </w:rPr>
    </w:lvl>
    <w:lvl w:ilvl="2">
      <w:start w:val="1"/>
      <w:numFmt w:val="bullet"/>
      <w:lvlText w:val="▪"/>
      <w:lvlJc w:val="left"/>
      <w:pPr>
        <w:ind w:left="2727" w:firstLine="2367"/>
      </w:pPr>
      <w:rPr>
        <w:rFonts w:ascii="Arial" w:cs="Arial" w:eastAsia="Arial" w:hAnsi="Arial"/>
        <w:vertAlign w:val="baseline"/>
      </w:rPr>
    </w:lvl>
    <w:lvl w:ilvl="3">
      <w:start w:val="1"/>
      <w:numFmt w:val="bullet"/>
      <w:lvlText w:val="●"/>
      <w:lvlJc w:val="left"/>
      <w:pPr>
        <w:ind w:left="3447" w:firstLine="3087"/>
      </w:pPr>
      <w:rPr>
        <w:rFonts w:ascii="Arial" w:cs="Arial" w:eastAsia="Arial" w:hAnsi="Arial"/>
        <w:vertAlign w:val="baseline"/>
      </w:rPr>
    </w:lvl>
    <w:lvl w:ilvl="4">
      <w:start w:val="1"/>
      <w:numFmt w:val="bullet"/>
      <w:lvlText w:val="o"/>
      <w:lvlJc w:val="left"/>
      <w:pPr>
        <w:ind w:left="4167" w:firstLine="3807"/>
      </w:pPr>
      <w:rPr>
        <w:rFonts w:ascii="Arial" w:cs="Arial" w:eastAsia="Arial" w:hAnsi="Arial"/>
        <w:vertAlign w:val="baseline"/>
      </w:rPr>
    </w:lvl>
    <w:lvl w:ilvl="5">
      <w:start w:val="1"/>
      <w:numFmt w:val="bullet"/>
      <w:lvlText w:val="▪"/>
      <w:lvlJc w:val="left"/>
      <w:pPr>
        <w:ind w:left="4887" w:firstLine="4527"/>
      </w:pPr>
      <w:rPr>
        <w:rFonts w:ascii="Arial" w:cs="Arial" w:eastAsia="Arial" w:hAnsi="Arial"/>
        <w:vertAlign w:val="baseline"/>
      </w:rPr>
    </w:lvl>
    <w:lvl w:ilvl="6">
      <w:start w:val="1"/>
      <w:numFmt w:val="bullet"/>
      <w:lvlText w:val="●"/>
      <w:lvlJc w:val="left"/>
      <w:pPr>
        <w:ind w:left="5607" w:firstLine="5247"/>
      </w:pPr>
      <w:rPr>
        <w:rFonts w:ascii="Arial" w:cs="Arial" w:eastAsia="Arial" w:hAnsi="Arial"/>
        <w:vertAlign w:val="baseline"/>
      </w:rPr>
    </w:lvl>
    <w:lvl w:ilvl="7">
      <w:start w:val="1"/>
      <w:numFmt w:val="bullet"/>
      <w:lvlText w:val="o"/>
      <w:lvlJc w:val="left"/>
      <w:pPr>
        <w:ind w:left="6327" w:firstLine="5967"/>
      </w:pPr>
      <w:rPr>
        <w:rFonts w:ascii="Arial" w:cs="Arial" w:eastAsia="Arial" w:hAnsi="Arial"/>
        <w:vertAlign w:val="baseline"/>
      </w:rPr>
    </w:lvl>
    <w:lvl w:ilvl="8">
      <w:start w:val="1"/>
      <w:numFmt w:val="bullet"/>
      <w:lvlText w:val="▪"/>
      <w:lvlJc w:val="left"/>
      <w:pPr>
        <w:ind w:left="7047" w:firstLine="6687"/>
      </w:pPr>
      <w:rPr>
        <w:rFonts w:ascii="Arial" w:cs="Arial" w:eastAsia="Arial" w:hAnsi="Arial"/>
        <w:vertAlign w:val="baseline"/>
      </w:rPr>
    </w:lvl>
  </w:abstractNum>
  <w:abstractNum w:abstractNumId="4">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0"/>
      <w:numFmt w:val="bullet"/>
      <w:lvlText w:val="-"/>
      <w:lvlJc w:val="left"/>
      <w:pPr>
        <w:ind w:left="1070" w:firstLine="710"/>
      </w:pPr>
      <w:rPr>
        <w:rFonts w:ascii="Arial" w:cs="Arial" w:eastAsia="Arial" w:hAnsi="Arial"/>
        <w:vertAlign w:val="baseline"/>
      </w:rPr>
    </w:lvl>
    <w:lvl w:ilvl="1">
      <w:start w:val="1"/>
      <w:numFmt w:val="bullet"/>
      <w:lvlText w:val="o"/>
      <w:lvlJc w:val="left"/>
      <w:pPr>
        <w:ind w:left="1790" w:firstLine="1430"/>
      </w:pPr>
      <w:rPr>
        <w:rFonts w:ascii="Arial" w:cs="Arial" w:eastAsia="Arial" w:hAnsi="Arial"/>
        <w:vertAlign w:val="baseline"/>
      </w:rPr>
    </w:lvl>
    <w:lvl w:ilvl="2">
      <w:start w:val="1"/>
      <w:numFmt w:val="bullet"/>
      <w:lvlText w:val="▪"/>
      <w:lvlJc w:val="left"/>
      <w:pPr>
        <w:ind w:left="2510" w:firstLine="2150"/>
      </w:pPr>
      <w:rPr>
        <w:rFonts w:ascii="Arial" w:cs="Arial" w:eastAsia="Arial" w:hAnsi="Arial"/>
        <w:vertAlign w:val="baseline"/>
      </w:rPr>
    </w:lvl>
    <w:lvl w:ilvl="3">
      <w:start w:val="1"/>
      <w:numFmt w:val="bullet"/>
      <w:lvlText w:val="●"/>
      <w:lvlJc w:val="left"/>
      <w:pPr>
        <w:ind w:left="3230" w:firstLine="2870"/>
      </w:pPr>
      <w:rPr>
        <w:rFonts w:ascii="Arial" w:cs="Arial" w:eastAsia="Arial" w:hAnsi="Arial"/>
        <w:vertAlign w:val="baseline"/>
      </w:rPr>
    </w:lvl>
    <w:lvl w:ilvl="4">
      <w:start w:val="1"/>
      <w:numFmt w:val="bullet"/>
      <w:lvlText w:val="o"/>
      <w:lvlJc w:val="left"/>
      <w:pPr>
        <w:ind w:left="3950" w:firstLine="3590"/>
      </w:pPr>
      <w:rPr>
        <w:rFonts w:ascii="Arial" w:cs="Arial" w:eastAsia="Arial" w:hAnsi="Arial"/>
        <w:vertAlign w:val="baseline"/>
      </w:rPr>
    </w:lvl>
    <w:lvl w:ilvl="5">
      <w:start w:val="1"/>
      <w:numFmt w:val="bullet"/>
      <w:lvlText w:val="▪"/>
      <w:lvlJc w:val="left"/>
      <w:pPr>
        <w:ind w:left="4670" w:firstLine="4310"/>
      </w:pPr>
      <w:rPr>
        <w:rFonts w:ascii="Arial" w:cs="Arial" w:eastAsia="Arial" w:hAnsi="Arial"/>
        <w:vertAlign w:val="baseline"/>
      </w:rPr>
    </w:lvl>
    <w:lvl w:ilvl="6">
      <w:start w:val="1"/>
      <w:numFmt w:val="bullet"/>
      <w:lvlText w:val="●"/>
      <w:lvlJc w:val="left"/>
      <w:pPr>
        <w:ind w:left="5390" w:firstLine="5030"/>
      </w:pPr>
      <w:rPr>
        <w:rFonts w:ascii="Arial" w:cs="Arial" w:eastAsia="Arial" w:hAnsi="Arial"/>
        <w:vertAlign w:val="baseline"/>
      </w:rPr>
    </w:lvl>
    <w:lvl w:ilvl="7">
      <w:start w:val="1"/>
      <w:numFmt w:val="bullet"/>
      <w:lvlText w:val="o"/>
      <w:lvlJc w:val="left"/>
      <w:pPr>
        <w:ind w:left="6110" w:firstLine="5750"/>
      </w:pPr>
      <w:rPr>
        <w:rFonts w:ascii="Arial" w:cs="Arial" w:eastAsia="Arial" w:hAnsi="Arial"/>
        <w:vertAlign w:val="baseline"/>
      </w:rPr>
    </w:lvl>
    <w:lvl w:ilvl="8">
      <w:start w:val="1"/>
      <w:numFmt w:val="bullet"/>
      <w:lvlText w:val="▪"/>
      <w:lvlJc w:val="left"/>
      <w:pPr>
        <w:ind w:left="6830" w:firstLine="647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