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SCI-679-2002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octubre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MEd.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 Edgar López R., Director del Departamento de Admisión y Registro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MSc. Sharay Meneses R., Coordinadora Comité de Examen de Admisión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2261, Artículo 2, del 29 de octubre del 2002.   Nota de Corte de Examen de Admisión al Instituto Tecnológico de Costa Rica para el período 2003</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numPr>
          <w:ilvl w:val="0"/>
          <w:numId w:val="1"/>
        </w:numPr>
        <w:ind w:left="360" w:hanging="357"/>
        <w:jc w:val="both"/>
        <w:rPr>
          <w:rFonts w:ascii="Times New Roman" w:cs="Times New Roman" w:eastAsia="Times New Roman" w:hAnsi="Times New Roman"/>
        </w:rPr>
      </w:pPr>
      <w:r w:rsidDel="00000000" w:rsidR="00000000" w:rsidRPr="00000000">
        <w:rPr>
          <w:rFonts w:ascii="Arial" w:cs="Arial" w:eastAsia="Arial" w:hAnsi="Arial"/>
          <w:sz w:val="22"/>
          <w:szCs w:val="22"/>
          <w:vertAlign w:val="baseline"/>
          <w:rtl w:val="0"/>
        </w:rPr>
        <w:t xml:space="preserve">El Consejo Institucional en Sesión No. 2141, artículo 8, del 13 de octubre de 2000, acordó lo siguiente:  “La distribución de los porcentajes de los componentes del puntaje de admisión y la nota de corte serán fijados cada año por el Consejo Institucional, con base en la recomendación técnica hecha por el Comité de Examen de Admisión, el cual primero presentará su propuesta al Consejo de Docencia, para que esté remita su pronunciamiento al Consejo Institucional.”</w:t>
      </w:r>
      <w:r w:rsidDel="00000000" w:rsidR="00000000" w:rsidRPr="00000000">
        <w:rPr>
          <w:rtl w:val="0"/>
        </w:rPr>
      </w:r>
    </w:p>
    <w:p w:rsidR="00000000" w:rsidDel="00000000" w:rsidP="00000000" w:rsidRDefault="00000000" w:rsidRPr="00000000">
      <w:pPr>
        <w:ind w:left="3"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2256, del 3 de octubre del 2002, conoció la propuesta denominada “Distribución de los porcentajes de los componentes del puntaje de Admisión”, elaborada por el Comité Examen de Admisión, a saber: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57"/>
        <w:jc w:val="both"/>
        <w:rPr/>
      </w:pPr>
      <w:r w:rsidDel="00000000" w:rsidR="00000000" w:rsidRPr="00000000">
        <w:rPr>
          <w:rFonts w:ascii="Arial" w:cs="Arial" w:eastAsia="Arial" w:hAnsi="Arial"/>
          <w:sz w:val="22"/>
          <w:szCs w:val="22"/>
          <w:vertAlign w:val="baseline"/>
          <w:rtl w:val="0"/>
        </w:rPr>
        <w:t xml:space="preserve">30% para el área de matemática </w:t>
      </w:r>
      <w:r w:rsidDel="00000000" w:rsidR="00000000" w:rsidRPr="00000000">
        <w:rPr>
          <w:rtl w:val="0"/>
        </w:rPr>
      </w:r>
    </w:p>
    <w:p w:rsidR="00000000" w:rsidDel="00000000" w:rsidP="00000000" w:rsidRDefault="00000000" w:rsidRPr="00000000">
      <w:pPr>
        <w:numPr>
          <w:ilvl w:val="0"/>
          <w:numId w:val="2"/>
        </w:numPr>
        <w:ind w:left="720" w:hanging="357"/>
        <w:jc w:val="both"/>
        <w:rPr/>
      </w:pPr>
      <w:r w:rsidDel="00000000" w:rsidR="00000000" w:rsidRPr="00000000">
        <w:rPr>
          <w:rFonts w:ascii="Arial" w:cs="Arial" w:eastAsia="Arial" w:hAnsi="Arial"/>
          <w:sz w:val="22"/>
          <w:szCs w:val="22"/>
          <w:vertAlign w:val="baseline"/>
          <w:rtl w:val="0"/>
        </w:rPr>
        <w:t xml:space="preserve">20% para el área verbal </w:t>
      </w:r>
      <w:r w:rsidDel="00000000" w:rsidR="00000000" w:rsidRPr="00000000">
        <w:rPr>
          <w:rtl w:val="0"/>
        </w:rPr>
      </w:r>
    </w:p>
    <w:p w:rsidR="00000000" w:rsidDel="00000000" w:rsidP="00000000" w:rsidRDefault="00000000" w:rsidRPr="00000000">
      <w:pPr>
        <w:numPr>
          <w:ilvl w:val="0"/>
          <w:numId w:val="2"/>
        </w:numPr>
        <w:ind w:left="720" w:hanging="357"/>
        <w:jc w:val="both"/>
        <w:rPr/>
      </w:pPr>
      <w:r w:rsidDel="00000000" w:rsidR="00000000" w:rsidRPr="00000000">
        <w:rPr>
          <w:rFonts w:ascii="Arial" w:cs="Arial" w:eastAsia="Arial" w:hAnsi="Arial"/>
          <w:sz w:val="22"/>
          <w:szCs w:val="22"/>
          <w:vertAlign w:val="baseline"/>
          <w:rtl w:val="0"/>
        </w:rPr>
        <w:t xml:space="preserve">50% para el cuarto ciclo </w:t>
      </w:r>
      <w:r w:rsidDel="00000000" w:rsidR="00000000" w:rsidRPr="00000000">
        <w:rPr>
          <w:rtl w:val="0"/>
        </w:rPr>
      </w:r>
    </w:p>
    <w:p w:rsidR="00000000" w:rsidDel="00000000" w:rsidP="00000000" w:rsidRDefault="00000000" w:rsidRPr="00000000">
      <w:pPr>
        <w:ind w:left="363"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2257, Artículo 17, del 10 de octubre del 2002, aprobó la ponderación de los componentes del Puntaje de Admisión al Instituto Tecnológico de Costa Rica para el período 2003, según lo acordado por el Consejo de Docencia en Sesión No. 20-2002.</w:t>
      </w:r>
      <w:r w:rsidDel="00000000" w:rsidR="00000000" w:rsidRPr="00000000">
        <w:rPr>
          <w:rtl w:val="0"/>
        </w:rPr>
      </w:r>
    </w:p>
    <w:p w:rsidR="00000000" w:rsidDel="00000000" w:rsidP="00000000" w:rsidRDefault="00000000" w:rsidRPr="00000000">
      <w:pPr>
        <w:ind w:left="3"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propuesta en memorando VIESA-356-2002, del MAE. William Vives B., Vicerrector de Vida Estudiantil y Servicios Académicos, dirigido al Ing. Alejandro Cruz, Presidente del Consejo Institucional, con fecha 16 de octubre del 2002, donde sugiere una Nota de Corte para el período 2003, de 580 puntos.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2261, Artículo 2, del 29 de octubre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de Docencia en Sesión No. 22-2002, celebrada el 25 de octubre del 2002, conoció la propuesta de Nota de Corte de Examen de Admisión al Instituto Tecnológico de Costa Rica, para el período 2003, en la cual aprobó proponer al Consejo Institucional, una nota de corte para la admisión de estudiantes nuevos de 570 puntos.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3686"/>
        </w:tabs>
        <w:ind w:firstLine="11"/>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3686"/>
        </w:tabs>
        <w:ind w:firstLine="11"/>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Aprobar la Nota de Corte entendida como el puntaje de admisión mínimo para ser elegible en el proceso de admisión a la Institución, en 570 puntos para el año 2003.</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Trabajo Social y Salud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ind w:right="5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2520" w:firstLine="2160"/>
      </w:pPr>
      <w:rPr>
        <w:rFonts w:ascii="Arial" w:cs="Arial" w:eastAsia="Arial" w:hAnsi="Arial"/>
        <w:b w:val="1"/>
        <w:i w:val="0"/>
        <w:sz w:val="22"/>
        <w:szCs w:val="22"/>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3">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