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somete a consideración del Consejo Institucional la siguiente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ind w:left="1418" w:hanging="141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ASUNTO: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" w:right="61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right="618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84" w:right="618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2036, integró las Comisiones de trabajo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6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84" w:right="618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2163, ratificó el nombramiento de la Licda. Josefa Guzmán, como Vicerrectora de Docencia.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84" w:right="618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Licda. Guzmán integró y coordinó algunas de las Comisiones Permanentes del Consejo Institucional y otras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 PROPONE: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" w:right="618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                                                        en la Comisión de Asuntos Académicos y Estudiantiles, y como Coordinador(a)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" w:right="6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" w:right="618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</w:t>
        <w:tab/>
        <w:tab/>
        <w:tab/>
        <w:tab/>
        <w:tab/>
        <w:tab/>
        <w:tab/>
        <w:t xml:space="preserve">en la Comisión de Estatuto Orgánico.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" w:right="618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</w:t>
        <w:tab/>
        <w:tab/>
        <w:tab/>
        <w:tab/>
        <w:tab/>
        <w:tab/>
        <w:tab/>
        <w:t xml:space="preserve">en la Comisión de Lineamientos FUNDATEC.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" w:right="618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</w:t>
        <w:tab/>
        <w:tab/>
        <w:tab/>
        <w:tab/>
        <w:tab/>
        <w:tab/>
        <w:tab/>
        <w:t xml:space="preserve">en  el Consejo 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" w:right="618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</w:t>
        <w:tab/>
        <w:tab/>
        <w:tab/>
        <w:tab/>
        <w:tab/>
        <w:tab/>
        <w:tab/>
        <w:t xml:space="preserve">en la Comisión de Funciones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Responsable: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right" w:pos="2410"/>
          <w:tab w:val="left" w:pos="2694"/>
        </w:tabs>
        <w:spacing w:after="0" w:before="0" w:line="240" w:lineRule="auto"/>
        <w:ind w:left="1276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Comisión de Asuntos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115.0" w:type="dxa"/>
        <w:tblLayout w:type="fixed"/>
        <w:tblLook w:val="00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Licda. Josefa Guzmán León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Ing. Edgardo Vargas Jarquín, MSc.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Ing. Oscar Gamboa Calderón, MSc.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Sr. Marco Vinicio Achoy Pérez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FECHA :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Presentada en Sesión No.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21"/>
        </w:tabs>
        <w:contextualSpacing w:val="0"/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C/documentos/propuestas de comisiones/académicos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2" w:w="12242"/>
      <w:pgMar w:bottom="1418" w:top="1418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