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both"/>
        <w:rPr>
          <w:b/>
          <w:b/>
          <w:bCs/>
        </w:rPr>
      </w:pPr>
      <w:r>
        <w:rPr>
          <w:b/>
          <w:bCs/>
        </w:rPr>
      </w:r>
    </w:p>
    <w:p>
      <w:pPr>
        <w:pStyle w:val="Normal"/>
        <w:bidi w:val="0"/>
        <w:jc w:val="right"/>
        <w:rPr>
          <w:u w:val="single"/>
        </w:rPr>
      </w:pPr>
      <w:r>
        <w:rPr>
          <w:b/>
          <w:bCs/>
          <w:u w:val="single"/>
        </w:rPr>
        <w:t>Anexo "A</w:t>
      </w:r>
    </w:p>
    <w:p>
      <w:pPr>
        <w:pStyle w:val="Normal"/>
        <w:bidi w:val="0"/>
        <w:jc w:val="both"/>
        <w:rPr>
          <w:b/>
          <w:b/>
          <w:bCs/>
        </w:rPr>
      </w:pPr>
      <w:r>
        <w:rPr>
          <w:b/>
          <w:bCs/>
        </w:rPr>
      </w:r>
    </w:p>
    <w:p>
      <w:pPr>
        <w:pStyle w:val="Normal"/>
        <w:bidi w:val="0"/>
        <w:jc w:val="center"/>
        <w:rPr>
          <w:u w:val="single"/>
        </w:rPr>
      </w:pPr>
      <w:r>
        <w:rPr>
          <w:b/>
          <w:bCs/>
          <w:u w:val="single"/>
        </w:rPr>
        <w:t xml:space="preserve">Información general para solicitantes extranjeros </w:t>
      </w:r>
    </w:p>
    <w:p>
      <w:pPr>
        <w:pStyle w:val="Normal"/>
        <w:bidi w:val="0"/>
        <w:jc w:val="center"/>
        <w:rPr>
          <w:u w:val="single"/>
        </w:rPr>
      </w:pPr>
      <w:r>
        <w:rPr>
          <w:b/>
          <w:bCs/>
          <w:u w:val="single"/>
        </w:rPr>
        <w:t>bajo el Programa General de Becas Atal Bihari Vajpayee del ICCR (A1201)</w:t>
      </w:r>
    </w:p>
    <w:p>
      <w:pPr>
        <w:pStyle w:val="Normal"/>
        <w:bidi w:val="0"/>
        <w:jc w:val="both"/>
        <w:rPr/>
      </w:pPr>
      <w:r>
        <w:rPr/>
      </w:r>
    </w:p>
    <w:p>
      <w:pPr>
        <w:pStyle w:val="Normal"/>
        <w:bidi w:val="0"/>
        <w:jc w:val="both"/>
        <w:rPr/>
      </w:pPr>
      <w:r>
        <w:rPr/>
        <w:tab/>
        <w:t xml:space="preserve">Las solicitudes de los estudiantes interesados para el año académico 2023-24 están invitadas en línea a través del Portal de Becas A2A del ICCR </w:t>
      </w:r>
      <w:r>
        <w:rPr>
          <w:b/>
          <w:bCs/>
          <w:u w:val="single"/>
        </w:rPr>
        <w:t>http://a2ascholarships.iccr.gov.in</w:t>
      </w:r>
      <w:r>
        <w:rPr/>
        <w:t xml:space="preserve">. El Portal de Becas A2A estará operativo a partir del 20 de febrero de 2023 para que los estudiantes extranjeros soliciten su admisión. </w:t>
      </w:r>
    </w:p>
    <w:p>
      <w:pPr>
        <w:pStyle w:val="Normal"/>
        <w:bidi w:val="0"/>
        <w:jc w:val="both"/>
        <w:rPr/>
      </w:pPr>
      <w:r>
        <w:rPr/>
      </w:r>
    </w:p>
    <w:p>
      <w:pPr>
        <w:pStyle w:val="Normal"/>
        <w:bidi w:val="0"/>
        <w:jc w:val="both"/>
        <w:rPr/>
      </w:pPr>
      <w:r>
        <w:rPr/>
        <w:t>2.</w:t>
        <w:tab/>
        <w:t xml:space="preserve">De acuerdo con el </w:t>
      </w:r>
      <w:r>
        <w:rPr>
          <w:b/>
          <w:bCs/>
        </w:rPr>
        <w:t>proceso A2A</w:t>
      </w:r>
      <w:r>
        <w:rPr/>
        <w:t>, las solicitudes serán enviadas directamente por los estudiantes a las respectivas universidades. Las universidades podrán ver las solicitudes directamente de los estudiantes. Los solicitantes tendrán la opción de solicitar plaza en 5 Universidades/institutos por orden de preferencia de estudios. La admisión, en la medida de lo posible, se hará según la preferencia del solicitante. Sin embargo, puede darse el caso de que los estudiantes no sean admitidos en sus Universidades/institutos preferidos debido al número limitado de plazas ofertadas. Por lo tanto, los estudiantes deben estar preparados para ser admitidos en cualquiera de sus cinco preferencias. Se aconseja a todos los solicitantes que visiten el sitio web de la Universidad/Instituto e investiguen a fondo los cursos ofrecidos, los criterios de admisión y la información general sobre la Universidad/Instituto antes de solicitar la admisión. Los estudiantes deben asegurarse de que son aptos para el curso y de que cumplen los criterios de admisión, y deben presentar la documentación pertinente exigida por las universidades, además de los certificados básicos mencionados en el formulario de solicitud.  Siempre deben consultar el Manual de Universidades / sitio web de la Comisión de Subvenciones Universitarias, etc.</w:t>
      </w:r>
    </w:p>
    <w:p>
      <w:pPr>
        <w:pStyle w:val="Normal"/>
        <w:bidi w:val="0"/>
        <w:jc w:val="both"/>
        <w:rPr/>
      </w:pPr>
      <w:r>
        <w:rPr/>
      </w:r>
    </w:p>
    <w:p>
      <w:pPr>
        <w:pStyle w:val="Normal"/>
        <w:bidi w:val="0"/>
        <w:jc w:val="both"/>
        <w:rPr/>
      </w:pPr>
      <w:r>
        <w:rPr/>
        <w:t>3.</w:t>
        <w:tab/>
        <w:t>Para el Año Académico (AY) 2023-24, se ha introducido un ensayo de 500 palabras en Inglés para determinar el dominio del Inglés.  Además, los estudiantes también pueden presentar su TOFEL / IELTS etc.  Standardised Test Scores, si están disponibles.  Las Universidades/Institutos pueden llevar a cabo entrevistas de los solicitantes en línea, si es necesario.</w:t>
        <w:tab/>
        <w:t xml:space="preserve">Los candidatos rechazados serán informados por las Universidades. El desembolso de todas las becas a los estudiantes se hará directamente a través del sistema PFMS. </w:t>
      </w:r>
      <w:r>
        <w:rPr>
          <w:u w:val="single"/>
        </w:rPr>
        <w:t>Se dará preferencia a los nuevos estudiantes y se evitará la repetición de becas a los mismos estudiantes</w:t>
      </w:r>
      <w:r>
        <w:rPr/>
        <w:t>.</w:t>
      </w:r>
    </w:p>
    <w:p>
      <w:pPr>
        <w:pStyle w:val="Normal"/>
        <w:bidi w:val="0"/>
        <w:jc w:val="both"/>
        <w:rPr/>
      </w:pPr>
      <w:r>
        <w:rPr/>
      </w:r>
    </w:p>
    <w:p>
      <w:pPr>
        <w:pStyle w:val="Normal"/>
        <w:bidi w:val="0"/>
        <w:jc w:val="both"/>
        <w:rPr/>
      </w:pPr>
      <w:r>
        <w:rPr/>
        <w:t>4.</w:t>
        <w:tab/>
        <w:t xml:space="preserve">En caso necesario, los estudiantes deberán presentar un certificado de equivalencia de la Asociación de Universidades Indias. Esto será estipulado por la Universidad/Instituto correspondiente en su carta de confirmación provisional para el solicitante (cargada en el portal A2A). En caso de que se requiera la equivalencia AIU los estudiantes pueden solicitar la misma en el enlace </w:t>
      </w:r>
      <w:r>
        <w:rPr>
          <w:u w:val="single"/>
        </w:rPr>
        <w:t>https://evaluation.aiu.ac.in/student/login</w:t>
      </w:r>
      <w:r>
        <w:rPr/>
        <w:t xml:space="preserve"> y asumir los gastos incurridos en la obtención del certificado por su propia cuenta (no reembolsable). Para cualquier otro detalle/consulta, los estudiantes pueden ponerse en contacto con AIU en (+911123230059/23231097/23232305 Extn. 210,234,252, Email id: </w:t>
      </w:r>
      <w:r>
        <w:rPr>
          <w:u w:val="single"/>
        </w:rPr>
        <w:t>studentinfo@aiu.ac.in</w:t>
      </w:r>
      <w:r>
        <w:rPr/>
        <w:t xml:space="preserve">, </w:t>
      </w:r>
      <w:r>
        <w:rPr>
          <w:u w:val="single"/>
        </w:rPr>
        <w:t>ds_international@aiu.ac.in</w:t>
      </w:r>
      <w:r>
        <w:rPr/>
        <w:t xml:space="preserve">, </w:t>
      </w:r>
      <w:hyperlink r:id="rId2">
        <w:r>
          <w:rPr>
            <w:rStyle w:val="InternetLink"/>
          </w:rPr>
          <w:t>evaluation@aiu.ac.in</w:t>
        </w:r>
      </w:hyperlink>
      <w:r>
        <w:rPr/>
        <w:t>)</w:t>
      </w:r>
    </w:p>
    <w:p>
      <w:pPr>
        <w:pStyle w:val="Normal"/>
        <w:bidi w:val="0"/>
        <w:jc w:val="both"/>
        <w:rPr/>
      </w:pPr>
      <w:r>
        <w:rPr/>
      </w:r>
    </w:p>
    <w:p>
      <w:pPr>
        <w:pStyle w:val="Normal"/>
        <w:bidi w:val="0"/>
        <w:jc w:val="both"/>
        <w:rPr/>
      </w:pPr>
      <w:r>
        <w:rPr/>
        <w:t>5.</w:t>
        <w:tab/>
        <w:t xml:space="preserve">Las becas incluyen billetes de avión de ida y vuelta en clase turista </w:t>
      </w:r>
      <w:r>
        <w:rPr>
          <w:b/>
          <w:bCs/>
        </w:rPr>
        <w:t>hasta el aeropuerto más cercano y el tercer billete de tren con aire acondicionado hasta el lugar de estudio, si fuera necesario</w:t>
      </w:r>
      <w:r>
        <w:rPr/>
        <w:t>. El billete de avión de ida será proporcionado por la Embajada de la India a los becarios seleccionados.</w:t>
      </w:r>
    </w:p>
    <w:p>
      <w:pPr>
        <w:pStyle w:val="Normal"/>
        <w:bidi w:val="0"/>
        <w:jc w:val="both"/>
        <w:rPr/>
      </w:pPr>
      <w:r>
        <w:rPr/>
      </w:r>
    </w:p>
    <w:p>
      <w:pPr>
        <w:pStyle w:val="Normal"/>
        <w:bidi w:val="0"/>
        <w:jc w:val="both"/>
        <w:rPr/>
      </w:pPr>
      <w:r>
        <w:rPr/>
        <w:t>6.</w:t>
        <w:tab/>
        <w:t>La edad del solicitante a 20 de febrero de 2023 para hacer uso de las becas para cursos de Grado/Postgrado debe estar comprendida entre 18 y 30 años y para Programas de Doctorado debe estar comprendida entre 18 y 45 años.</w:t>
      </w:r>
    </w:p>
    <w:p>
      <w:pPr>
        <w:pStyle w:val="Normal"/>
        <w:bidi w:val="0"/>
        <w:jc w:val="both"/>
        <w:rPr/>
      </w:pPr>
      <w:r>
        <w:rPr/>
      </w:r>
    </w:p>
    <w:p>
      <w:pPr>
        <w:pStyle w:val="Normal"/>
        <w:bidi w:val="0"/>
        <w:jc w:val="both"/>
        <w:rPr/>
      </w:pPr>
      <w:r>
        <w:rPr/>
        <w:t>7.</w:t>
        <w:tab/>
        <w:t>Las admisiones en Medicina / Paramédico (Enfermería / Fisioterapia / Anestesia, etc) / moda / cursos de derecho / cursos integrados como BALLB (5 años) / B Sc &amp; M Sc (5 años), etc no son admisibles.</w:t>
      </w:r>
    </w:p>
    <w:p>
      <w:pPr>
        <w:pStyle w:val="Normal"/>
        <w:bidi w:val="0"/>
        <w:jc w:val="both"/>
        <w:rPr/>
      </w:pPr>
      <w:r>
        <w:rPr/>
      </w:r>
    </w:p>
    <w:p>
      <w:pPr>
        <w:pStyle w:val="Normal"/>
        <w:bidi w:val="0"/>
        <w:jc w:val="both"/>
        <w:rPr/>
      </w:pPr>
      <w:r>
        <w:rPr/>
        <w:t>8.</w:t>
        <w:tab/>
        <w:t>Cabe señalar que para los cursos BE/B.Tech, Física, Química y Matemáticas son obligatorias en 11 y 12 Grados y es un requisito obligatorio para los cursos de Ingeniería. Hojas de notas para cada es decir, el nivel 10 y 10 + 2 nivel equivalente de la escuela debe ser cargado junto con las transcripciones en Inglés . Las solicitudes no serán consideradas sin la traducción al inglés de los documentos en caso de que los documentos originales no estén en inglés. Cabe señalar también que las solicitudes incompletas pueden ser rechazadas sumariamente por las Universidades. Los estudiantes deben ser aconsejados para comprobar a fondo sus aplicaciones y adjuntar los documentos necesarios antes de la presentación de la solicitud.</w:t>
      </w:r>
    </w:p>
    <w:p>
      <w:pPr>
        <w:pStyle w:val="Normal"/>
        <w:bidi w:val="0"/>
        <w:jc w:val="both"/>
        <w:rPr/>
      </w:pPr>
      <w:r>
        <w:rPr/>
      </w:r>
    </w:p>
    <w:p>
      <w:pPr>
        <w:pStyle w:val="Normal"/>
        <w:bidi w:val="0"/>
        <w:jc w:val="both"/>
        <w:rPr/>
      </w:pPr>
      <w:r>
        <w:rPr/>
        <w:t>9.</w:t>
        <w:tab/>
        <w:t>Cabe señalar que para los cursos de Ciencias, el gasto en productos químicos de laboratorio y otros gastos incidentales relacionados serán sufragados por los propios becarios.</w:t>
      </w:r>
    </w:p>
    <w:p>
      <w:pPr>
        <w:pStyle w:val="Normal"/>
        <w:bidi w:val="0"/>
        <w:jc w:val="both"/>
        <w:rPr/>
      </w:pPr>
      <w:r>
        <w:rPr/>
      </w:r>
    </w:p>
    <w:p>
      <w:pPr>
        <w:pStyle w:val="Normal"/>
        <w:bidi w:val="0"/>
        <w:jc w:val="both"/>
        <w:rPr/>
      </w:pPr>
      <w:r>
        <w:rPr/>
        <w:t>10.</w:t>
        <w:tab/>
        <w:t>También se informa a los solicitantes de que el seguro médico personal es un requisito obligatorio para beneficiarse de la beca del ICCR.  Es obligatorio que todos los estudiantes becados por el ICCR contraten una póliza de seguro médico con una suma mínima asegurada de 500.000 rupias indias al año.  Siempre que los estudiantes viajen a la India, deben tener un seguro médico por su cuenta, ya sea antes del viaje o inmediatamente después de llegar a la India, lo que sea conveniente para los estudiantes.  Los estudiantes pueden contratar un seguro médico en cualquiera de las compañías de seguros de su elección.  Sin embargo, para facilitar a los estudiantes, el portal A2A cuenta con dos compañías de seguros de referencia.</w:t>
      </w:r>
    </w:p>
    <w:p>
      <w:pPr>
        <w:pStyle w:val="Normal"/>
        <w:bidi w:val="0"/>
        <w:jc w:val="both"/>
        <w:rPr/>
      </w:pPr>
      <w:r>
        <w:rPr/>
      </w:r>
    </w:p>
    <w:p>
      <w:pPr>
        <w:pStyle w:val="Normal"/>
        <w:bidi w:val="0"/>
        <w:jc w:val="both"/>
        <w:rPr/>
      </w:pPr>
      <w:r>
        <w:rPr/>
        <w:t>11.</w:t>
        <w:tab/>
        <w:t>El ICCR puede modificar algunas disposiciones de las becas de vez en cuando y corresponde a los estudiantes aceptar las normas revisadas.</w:t>
      </w:r>
    </w:p>
    <w:p>
      <w:pPr>
        <w:pStyle w:val="Normal"/>
        <w:bidi w:val="0"/>
        <w:jc w:val="both"/>
        <w:rPr/>
      </w:pPr>
      <w:r>
        <w:rPr/>
      </w:r>
    </w:p>
    <w:p>
      <w:pPr>
        <w:pStyle w:val="Normal"/>
        <w:bidi w:val="0"/>
        <w:jc w:val="both"/>
        <w:rPr/>
      </w:pPr>
      <w:r>
        <w:rPr/>
        <w:t>12.</w:t>
        <w:tab/>
        <w:t>Para garantizar la seguridad de los estudiantes extranjeros, el ICCR aconseja a los estudiantes que se alojen en el albergue del campus, si está disponible.  Sin embargo, se permite a los estudiantes alojarse en alojamientos privados si el instituto correspondiente no insiste en que se alojen en su albergue.</w:t>
      </w:r>
    </w:p>
    <w:p>
      <w:pPr>
        <w:pStyle w:val="Normal"/>
        <w:bidi w:val="0"/>
        <w:jc w:val="both"/>
        <w:rPr/>
      </w:pPr>
      <w:r>
        <w:rPr/>
      </w:r>
    </w:p>
    <w:p>
      <w:pPr>
        <w:pStyle w:val="Normal"/>
        <w:bidi w:val="0"/>
        <w:jc w:val="both"/>
        <w:rPr/>
      </w:pPr>
      <w:r>
        <w:rPr/>
        <w:t>13.</w:t>
        <w:tab/>
        <w:t>El estudiante seleccionado tendrá que presentar un formulario de compromiso en el que declare que (i) el curso y la Universidad tal y como se le han comunicado son aceptables y que no solicitará ningún cambio en el momento de la admisión; (ii) ha leído los términos y condiciones/directrices de la beca del ICCR tal y como se especifican en el Manual de Becas 2022-23. El compromiso se aplicará una sola vez. El compromiso único será aplicable incluso cuando se actualice el manual de becas.</w:t>
      </w:r>
    </w:p>
    <w:p>
      <w:pPr>
        <w:pStyle w:val="Normal"/>
        <w:bidi w:val="0"/>
        <w:jc w:val="both"/>
        <w:rPr/>
      </w:pPr>
      <w:r>
        <w:rPr/>
      </w:r>
    </w:p>
    <w:p>
      <w:pPr>
        <w:pStyle w:val="Normal"/>
        <w:bidi w:val="0"/>
        <w:jc w:val="both"/>
        <w:rPr/>
      </w:pPr>
      <w:r>
        <w:rPr/>
        <w:t>14.</w:t>
        <w:tab/>
        <w:t xml:space="preserve">Los solicitantes no deben tener problemas graves de salud. Las directrices detalladas sobre el proceso de solicitud de becas del ICCR en línea se encuentran en el </w:t>
      </w:r>
      <w:r>
        <w:rPr>
          <w:b/>
          <w:bCs/>
        </w:rPr>
        <w:t>Portal A2A</w:t>
      </w:r>
      <w:r>
        <w:rPr/>
        <w:t>.</w:t>
      </w:r>
    </w:p>
    <w:p>
      <w:pPr>
        <w:pStyle w:val="Normal"/>
        <w:bidi w:val="0"/>
        <w:jc w:val="both"/>
        <w:rPr/>
      </w:pPr>
      <w:r>
        <w:rPr/>
      </w:r>
    </w:p>
    <w:p>
      <w:pPr>
        <w:pStyle w:val="Normal"/>
        <w:bidi w:val="0"/>
        <w:jc w:val="center"/>
        <w:rPr/>
      </w:pPr>
      <w:r>
        <w:rPr/>
        <w:t>***</w:t>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9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oto Sans CJK SC" w:cs="Lohit Devanagari"/>
      <w:color w:val="auto"/>
      <w:kern w:val="2"/>
      <w:sz w:val="24"/>
      <w:szCs w:val="24"/>
      <w:lang w:val="en-US" w:eastAsia="zh-CN" w:bidi="hi-IN"/>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valuation@aiu.ac.in"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TotalTime>
  <Application>LibreOffice/7.2.7.2$Linux_X86_64 LibreOffice_project/20$Build-2</Application>
  <AppVersion>15.0000</AppVersion>
  <Pages>2</Pages>
  <Words>1048</Words>
  <Characters>5619</Characters>
  <CharactersWithSpaces>6661</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2023-02-14T17:10:49Z</dcterms:created>
  <dc:creator/>
  <dc:description/>
  <dc:language>en-US</dc:language>
  <cp:lastModifiedBy/>
  <cp:lastPrinted>2023-02-15T11:33:05Z</cp:lastPrinted>
  <dcterms:modified xsi:type="dcterms:W3CDTF">2023-02-15T12:49:44Z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