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6"/>
          <w:szCs w:val="26"/>
          <w:vertAlign w:val="baseline"/>
          <w:rtl w:val="0"/>
        </w:rPr>
        <w:t xml:space="preserve">SCI-273-2014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Comunicación de 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76.0" w:type="dxa"/>
        <w:jc w:val="left"/>
        <w:tblLayout w:type="fixed"/>
        <w:tblLook w:val="0000"/>
      </w:tblPr>
      <w:tblGrid>
        <w:gridCol w:w="1418"/>
        <w:gridCol w:w="8647"/>
        <w:gridCol w:w="11"/>
        <w:tblGridChange w:id="0">
          <w:tblGrid>
            <w:gridCol w:w="1418"/>
            <w:gridCol w:w="8647"/>
            <w:gridCol w:w="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Dr. Julio C. Calvo A, 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Ph.d. Floria Roa Gutiérrez, Directora Escuela de Química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Máster Teresa Salazar Rojas, Profesora Escuela de Química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Máster Aura Ledezma Espinoza, Profesora Escuela de Química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Licda. Bertalía Sánchez Salas,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 de mayo de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before="0" w:line="240" w:lineRule="auto"/>
              <w:ind w:left="34" w:hanging="3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Sesión Ordinaria No. 2866 Artículo 7, del 2 de mayo de 2014.  Reconocimiento a la Máster Teresa Salazar Rojas y Máster Aura Ledezma Espinoza, profesoras de la Escuela de Química, por su acción pionera en la gestión ambiental institucional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tomado por el Consejo Institucional, citado en la referencia,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El Sistema de Gestión Ambiental del ITCR (SiGA) nace como un proyecto de investigación, presentado y aprobado por la Vicerrectoría de Investigación y Extensión en el año 2006, el cual fue desarrollado en dos fases. Este proyecto a su vez contó con el apoyo de la Rectoría durante su desarrollo y en el año 2009 es incorporado dentro del Plan Anual Operativo de la Rectoría como una meta más por lograr y se ha mantenido vigente hasta la fecha.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Durante el año 2006 y el 2007 se hizo un análisis general de riesgo ambiental de las actividades del TEC quedando como actividades con Riesgo Inaceptable y que requerían atención inmediata: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08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Mantenimiento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08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Almacenamiento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08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Agrícolas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08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Disposición de desechos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08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Investigación de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08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Construcción y remodelación de edificios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Además se identificaron los Aspectos Ambientales Significativos (AAS) e Indicadores Ambientales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en 7 escuelas y en 5 instancias administrativas, obteniéndose en común algunos AAS como: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993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Residuos peligrosos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993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Riesgo de incidente ambiental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993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Aguas residuales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993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Desechos biológicos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993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Manejo de residuos valorizables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En el 2007 se presentó, por primera vez, ante el MINAET el Plan de Gestión Ambiental y actualmente se sigue presentando, de acuerdo a la nueva normativa del Programa de Gestión Ambiental Institucional, dando cumplimiento al Decreto 36499.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Desde el 2010 el Tecnológico viene participando en el Programa Bandera Azul, en las categorías: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993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Acciones para enfrentar el cambio climático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993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Centros Educativos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color w:val="00206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Desde el año 2006, el Tecnológico ha desarrollado las siguientes actividades en Materia de Gestión Ambiental: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61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4932"/>
        <w:gridCol w:w="3087"/>
        <w:tblGridChange w:id="0">
          <w:tblGrid>
            <w:gridCol w:w="1242"/>
            <w:gridCol w:w="4932"/>
            <w:gridCol w:w="3087"/>
          </w:tblGrid>
        </w:tblGridChange>
      </w:tblGrid>
      <w:tr>
        <w:tc>
          <w:tcPr>
            <w:shd w:fill="9cc2e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Actividad Realizada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Resultados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Recopilación de la información para la elaboración de las políticas ambientales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Preparación de propuesta de políticas ambientales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Revisión de la legislación ambiental aplicable al TEC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Documento de soporte para la elaboración de procedimientos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Talleres de identificación de impactos ambientales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Listado de legislación ambiental aplicable al TEC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Procedimiento “0” para la elaboración de procedimientos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Identificación de IA para las Escuelas y departamentos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Inicio de las gestiones para la apertura de Oficina en Seguridad Laboral y Protección al Ambiente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Generación de procedimiento de operación del SiGA y manual de gestión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Implementación de algunos indicadores ambientales institucionales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Manual del Sistema de Gestión Ambiental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Identificación de IA para las Escuelas y departamentos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Elaboración de procedimientos específicos de gestión ambiental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Implementación de medidas para disminuir el gasto energético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Seguimiento de indicadores de desempeño ambiental de la institución.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Identificación de IA para las Escuelas y departamentos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Presentación del Plan de Gestión Ambiental del TEC ante el MINAET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Talleres de identificación de impactos ambientales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Campaña de ahorro de energía eléctrica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Celebración del Día del ambiente con charla sobre "Ahorro de energía”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Seguimiento de indicadores de desempeño ambiental de la institución.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Elaboración de inventario de sustancias químicas en desuso 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Plan de Gestión Ambiental del TEC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Identificación de IA para las Escuelas y departamentos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Inventario de sustancias químicas en desuso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Creación del Programa de Educación Ambiental a la Comunidad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Conformación de la Comisión Bandera Azul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Celebración del Día del ambiente  “mural con residuos sólidos”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Talleres de identificación de impactos ambientales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Siembra de árboles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Campaña de uso eficiente de recursos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Seguimiento de indicadores de desempeño ambiental de la institución.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Inventario, tratamiento y disposición de residuos químicos institucionales 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Programa de Educación Ambiental a la Comunidad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Comisión Bandera Azul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Identificación de IA para la Biblioteca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Actualización del Programa de Gestión Ambiental Institucional (PGAI) del TEC ante el MINAET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Creación de la Comisión PGAI del TEC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Taller de identificación de impactos ambientales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Siembra de árboles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Campaña de uso eficiente de recursos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Inventario de emisiones de la huella de carbono (2010-2011) para las 3 sedes del TEC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Seguimiento de indicadores de desempeño ambiental de la institución.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Obtención galardón  Bandera Azul para el TEC en dos categorías: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Centros Educativo: 4 estrellas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Acciones para enfrentar en Cambio Climático (AECC): 1 estrella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Huella de carbono para las 3 Sedes del TEC</w:t>
            </w:r>
          </w:p>
          <w:p w:rsidR="00000000" w:rsidDel="00000000" w:rsidP="00000000" w:rsidRDefault="00000000" w:rsidRPr="00000000">
            <w:pPr>
              <w:ind w:left="205" w:hanging="14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Semana Ambiental con: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Siembra de árboles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Limpieza de río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Rally ambiental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Día de la bicicleta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Campaña de uso eficiente de recursos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74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Seguimiento de la huella de carbono del TEC y de indicadores de desempeño ambiental de la institución.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Obtención galardón  Bandera Azul para el TEC en dos categorías: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Centros Educativo: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0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5 estrellas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05" w:hanging="142"/>
              <w:contextualSpacing w:val="1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Acciones para enfrentar en Cambio Climático (AECC):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0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4 estrellas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El Instituto ha demostrado interés en el tema de ambiente y seguridad laboral a través de los años y ha plasmado el compromiso con estos temas, para lo cual ha aprobado políticas generales y específicas en ese sentido, como se detallan a continuación.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color w:val="5b9bd5"/>
          <w:sz w:val="24"/>
          <w:szCs w:val="24"/>
          <w:vertAlign w:val="baseline"/>
          <w:rtl w:val="0"/>
        </w:rPr>
        <w:t xml:space="preserve">Políticas Generales y Específicas en materia ambiental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772.0" w:type="dxa"/>
        <w:jc w:val="left"/>
        <w:tblInd w:w="-70.0" w:type="dxa"/>
        <w:tblLayout w:type="fixed"/>
        <w:tblLook w:val="0000"/>
      </w:tblPr>
      <w:tblGrid>
        <w:gridCol w:w="1607"/>
        <w:gridCol w:w="3284"/>
        <w:gridCol w:w="4881"/>
        <w:tblGridChange w:id="0">
          <w:tblGrid>
            <w:gridCol w:w="1607"/>
            <w:gridCol w:w="3284"/>
            <w:gridCol w:w="4881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PERSPECTIVA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POLÍTICAS GENERALES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POLÍTICAS ESPECÍFICAS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EJE TEMÁTICO: 1 DOCENCIA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Procesos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1.5 Se planificarán y ejecutarán los procesos académicos de tal forma que se minimice y prevenga el impacto negativo sobre la salud y el ambiente.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1.5.1 Se fortalecerá la integración de la dimensión ambiental en el diseño, planificación, ejecución y control de los programas académicos.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1.5.2 Se incluirán actividades académicas que permitan integrar aportes en los campos científicos y tecnológicos, en la prevención y minimización de los impactos negativos sobre la salud y el ambiente, como parte de la formación integral de la población estudiantil.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1.5.3 Se ejecutarán las labores institucionales en estricto apego al respeto por la salud y el ambiente.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1.5.4 Se promoverá el uso eficiente de energía, agua, combustible, papel y otros recursos así como el establecimiento de estrategias para la minimización y mitigación de emisiones de gases de efecto invernadero.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EJE TEMÁTICO: 2.  INVESTIGACIÓN Y EXTENSIÓN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Procesos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2.4 Se planificarán y ejecutarán los procesos académicos relacionados con la investigación y la extensión de tal forma que se minimice y prevenga el impacto negativo sobre la salud y el ambiente.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2.4.1 Se fomentará la inclusión de elementos de salud, seguridad ocupacional y de ambiente en las fases de formulación, ejecución y evaluación de proyectos de investigación y extensión.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95b3d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EJE TEMÁTICO: 3. VINCULACIÓN UNIVERSITARIA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Procesos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3.7 Se planearán y ejecutarán los procesos de prestación de servicios y de acción social de tal forma que se minimice y prevenga el impacto negativo sobre la salud y el ambiente.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3.7.1    Se incluirán criterios de sostenibilidad en las fases de formulación, ejecución y evaluación de los programas, las actividades de prestación de servicios y acción social.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En esta misma línea, el Presupuesto Asignado para la Gestión Ambiental y la Seguridad Laboral durante los años 2011, 2012 y 2013, fue el siguiente: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110.0" w:type="dxa"/>
        <w:jc w:val="left"/>
        <w:tblInd w:w="38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3"/>
        <w:gridCol w:w="2127"/>
        <w:gridCol w:w="1947"/>
        <w:gridCol w:w="1984"/>
        <w:gridCol w:w="1739"/>
        <w:tblGridChange w:id="0">
          <w:tblGrid>
            <w:gridCol w:w="1313"/>
            <w:gridCol w:w="2127"/>
            <w:gridCol w:w="1947"/>
            <w:gridCol w:w="1984"/>
            <w:gridCol w:w="1739"/>
          </w:tblGrid>
        </w:tblGridChange>
      </w:tblGrid>
      <w:tr>
        <w:tc>
          <w:tcPr>
            <w:shd w:fill="9cc2e5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Recursos Asignados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Presupuesto de Operación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34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¢ 2 687 288,31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4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¢ 3 975 000,00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¢ 9 782 000,00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Recurso Humano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34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1/2 Tiempo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1/2 Tiempo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1/2 Tiempo Completo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La participación activa e incondicional, así como el conocimiento aportado a la Institución, por las profesionales en materia ambiental: Máster Teresa Salazar Rojas y Máster Aura Ledezma Espinoza, permitieron sentar las bases de un Programa de Gestión Ambiental, que posteriormente de forma exitosa se logra consolidar gracias a la estrecha interrelación entre la academia y el sector administrativo, así como la preeminencia que la Rectoría le dio a   esa iniciativa.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El aporte de estas profesionales en materia ambiental y la decidida participación de instancias institucionales, permitió la creación de la Unidad Integrada, Ambiente, Calidad y Seguridad Laboral (Sesión Extraordinaria No. 2826, Artículo 2, del 24 de junio de 2013), categoría 3, adscrita a la Rectoría,  para lo cual se aprobó una plaza de tiempo completo para nombrar a un gestor ambiental y en el año 2014 se logró contar con una gestora ambiental, quien se dedica de forma exclusiva a la temática ambiental.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Es loable reconocer la labor destacada de las profesoras Salazar y Ledezma, quienes de forma desinteresada, trabajaron de forma extraordinaria en esta tarea y sin reconocimiento salarial adicional, con el objetivo de que esta institución se ajustara a las modernas prácticas ambientales en los distintos sectores del Instituto Tecnológico de Costa Rica.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 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Reconocer a la Máster Teresa Salazar Rojas y Máster Aura Ledezma Espinoza, ambas profesoras de la Escuela de Química, como precursoras en el tema de la Gestión Ambiental Institucional.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Felicitar a estas profesionales por haber sabido incidir y compartir con acierto toda la realidad que sintetiza el moderno concepto de gestión ambiental compartida, por el compromiso asumido y la puesta en práctica en esta materia, que hoy permite asumir la aplicación de mejores técnicas de calidad y seguridad ambiental y contar con una Unidad Integrada (Ambiente, Calidad y Seguridad Laboral), en el Instituto Tecnológico de Costa Rica.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Invitar a la Máster Teresa Salazar Rojas y Máster Aura Ledezma Espinoza, a compartir la distinción que le realizará el Consejo Institucional y la Rectoría, en la sesión ordinaria del Consejo Institucional, por celebrarse el miércoles 28 de mayo de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Solicitar a la Rectoría brindar todo el apoyo requerido para otorgar el reconocimiento a las señoras Salazar Rojas y Ledezma Espinoza.</w:t>
      </w:r>
    </w:p>
    <w:p w:rsidR="00000000" w:rsidDel="00000000" w:rsidP="00000000" w:rsidRDefault="00000000" w:rsidRPr="00000000">
      <w:pPr>
        <w:spacing w:after="0" w:before="0" w:line="240" w:lineRule="auto"/>
        <w:ind w:left="0" w:right="-9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hanging="360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Comunicar.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Palabras Clave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Reconocimiento – Teresa – Aura – Gestión – Ambiental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BSS/apmc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464.0" w:type="dxa"/>
        <w:jc w:val="left"/>
        <w:tblInd w:w="-108.0" w:type="dxa"/>
        <w:tblLayout w:type="fixed"/>
        <w:tblLook w:val="0000"/>
      </w:tblPr>
      <w:tblGrid>
        <w:gridCol w:w="4361"/>
        <w:gridCol w:w="5103"/>
        <w:tblGridChange w:id="0">
          <w:tblGrid>
            <w:gridCol w:w="4361"/>
            <w:gridCol w:w="5103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ci.  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Vicerrectoría Administración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Vicerrectoría Docencia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Asesoría Legal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Académico San José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Académico Limón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3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3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Auditoría Interna (Notificado a la Secretaria vía correo electrónico)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de Archivo  y Comunicación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de Comunicación y Mercadeo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Unidad Integrada, Ambiente, Calidad y Seguridad Laboral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3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0" w:w="12240"/>
      <w:pgMar w:bottom="993" w:top="0" w:left="1304" w:right="130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5029835</wp:posOffset>
          </wp:positionH>
          <wp:positionV relativeFrom="paragraph">
            <wp:posOffset>245110</wp:posOffset>
          </wp:positionV>
          <wp:extent cx="1574800" cy="5842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40"/>
      <w:contextualSpacing w:val="0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COMUNICACIÓN DE ACUERDO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584"/>
      <w:contextualSpacing w:val="0"/>
      <w:jc w:val="both"/>
    </w:pPr>
    <w:r w:rsidDel="00000000" w:rsidR="00000000" w:rsidRPr="00000000">
      <w:rPr>
        <w:rFonts w:ascii="Arial" w:cs="Arial" w:eastAsia="Arial" w:hAnsi="Arial"/>
        <w:i w:val="1"/>
        <w:sz w:val="18"/>
        <w:szCs w:val="18"/>
        <w:vertAlign w:val="baseline"/>
        <w:rtl w:val="0"/>
      </w:rPr>
      <w:t xml:space="preserve">Sesión Ordinaria No. 2866, Artículo 7, del 2 de mayo  de 2014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vertAlign w:val="baseline"/>
        <w:rtl w:val="0"/>
      </w:rPr>
      <w:t xml:space="preserve">Página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5182235</wp:posOffset>
          </wp:positionH>
          <wp:positionV relativeFrom="paragraph">
            <wp:posOffset>565150</wp:posOffset>
          </wp:positionV>
          <wp:extent cx="1574800" cy="584200"/>
          <wp:effectExtent b="0" l="0" r="0" t="0"/>
          <wp:wrapNone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■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778" w:firstLine="1418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lowerLetter"/>
      <w:lvlText w:val="%1."/>
      <w:lvlJc w:val="left"/>
      <w:pPr>
        <w:ind w:left="360" w:firstLine="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