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SCI-439-2014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Martha Calderón, Presidenta Comité de Becas</w:t>
            </w:r>
            <w:r w:rsidDel="00000000" w:rsidR="00000000" w:rsidRPr="00000000">
              <w:rPr>
                <w:rtl w:val="0"/>
              </w:rPr>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MBA. Harold Blanco Leiton, Director Departamento de Recursos Humanos</w:t>
            </w:r>
            <w:r w:rsidDel="00000000" w:rsidR="00000000" w:rsidRPr="00000000">
              <w:rPr>
                <w:rtl w:val="0"/>
              </w:rPr>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M.Sc. Grettel Ortiz, Directora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junio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right="1179" w:hanging="34"/>
              <w:contextualSpacing w:val="0"/>
              <w:jc w:val="both"/>
            </w:pPr>
            <w:r w:rsidDel="00000000" w:rsidR="00000000" w:rsidRPr="00000000">
              <w:rPr>
                <w:rFonts w:ascii="Arial" w:cs="Arial" w:eastAsia="Arial" w:hAnsi="Arial"/>
                <w:b w:val="1"/>
                <w:vertAlign w:val="baseline"/>
                <w:rtl w:val="0"/>
              </w:rPr>
              <w:t xml:space="preserve">Sesión Ordinaria No. 2875 Artículo 7, del 25 de junio de 2014.  Modificación del inciso c) del Artículo 27 del Reglamento Becas para el Personal del Instituto Tecnológico de Costa Rica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3975"/>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Becas para el Personal  del Instituto Tecnológico de Costa Rica, en sus artículos 3, inciso d) y 27, inciso c), establecen: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“Artículo 3 </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Se podrán conceder becas para:</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 </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b. </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c.</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d</w:t>
      </w:r>
      <w:r w:rsidDel="00000000" w:rsidR="00000000" w:rsidRPr="00000000">
        <w:rPr>
          <w:rFonts w:ascii="Arial" w:cs="Arial" w:eastAsia="Arial" w:hAnsi="Arial"/>
          <w:i w:val="1"/>
          <w:color w:val="000000"/>
          <w:sz w:val="20"/>
          <w:szCs w:val="20"/>
          <w:vertAlign w:val="baseline"/>
          <w:rtl w:val="0"/>
        </w:rPr>
        <w:t xml:space="preserve">. Asistencia a seminarios, simposios, congresos, cursos de adiestramiento u otros análogos.</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“Artículo 27 </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 </w:t>
      </w:r>
      <w:r w:rsidDel="00000000" w:rsidR="00000000" w:rsidRPr="00000000">
        <w:rPr>
          <w:rtl w:val="0"/>
        </w:rPr>
      </w:r>
    </w:p>
    <w:p w:rsidR="00000000" w:rsidDel="00000000" w:rsidP="00000000" w:rsidRDefault="00000000" w:rsidRPr="00000000">
      <w:pPr>
        <w:ind w:left="1080" w:right="474"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b.</w:t>
      </w:r>
      <w:r w:rsidDel="00000000" w:rsidR="00000000" w:rsidRPr="00000000">
        <w:rPr>
          <w:rtl w:val="0"/>
        </w:rPr>
      </w:r>
    </w:p>
    <w:p w:rsidR="00000000" w:rsidDel="00000000" w:rsidP="00000000" w:rsidRDefault="00000000" w:rsidRPr="00000000">
      <w:pPr>
        <w:ind w:left="1344" w:right="474" w:hanging="264.00000000000006"/>
        <w:contextualSpacing w:val="0"/>
        <w:jc w:val="both"/>
      </w:pPr>
      <w:r w:rsidDel="00000000" w:rsidR="00000000" w:rsidRPr="00000000">
        <w:rPr>
          <w:rFonts w:ascii="Arial" w:cs="Arial" w:eastAsia="Arial" w:hAnsi="Arial"/>
          <w:b w:val="1"/>
          <w:i w:val="1"/>
          <w:color w:val="000000"/>
          <w:sz w:val="20"/>
          <w:szCs w:val="20"/>
          <w:vertAlign w:val="baseline"/>
          <w:rtl w:val="0"/>
        </w:rPr>
        <w:t xml:space="preserve">c</w:t>
      </w:r>
      <w:r w:rsidDel="00000000" w:rsidR="00000000" w:rsidRPr="00000000">
        <w:rPr>
          <w:rFonts w:ascii="Arial" w:cs="Arial" w:eastAsia="Arial" w:hAnsi="Arial"/>
          <w:i w:val="1"/>
          <w:color w:val="000000"/>
          <w:sz w:val="20"/>
          <w:szCs w:val="20"/>
          <w:vertAlign w:val="baseline"/>
          <w:rtl w:val="0"/>
        </w:rPr>
        <w:t xml:space="preserve">. Haber obtenido evaluaciones en el desempeño del puesto superiores a 85 en los dos últimos años, o en el período laborado en caso de que tenga menos de dos años de contratado para lo establecido en el inciso d) del 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OPI-401-2014, de 18 de junio de 2014, suscrito por la MAU. Tatiana Fernández, Directora de la Oficina de Planificación Institucional, dirigido al Dr. Julio Calvo A., Presidente del Consejo Institucional, con copia  al Ing. Jorge Chaves, Coordinador de la Comisión de Asuntos Académicos, en el cual remite </w:t>
      </w:r>
      <w:r w:rsidDel="00000000" w:rsidR="00000000" w:rsidRPr="00000000">
        <w:rPr>
          <w:rFonts w:ascii="Arial" w:cs="Arial" w:eastAsia="Arial" w:hAnsi="Arial"/>
          <w:sz w:val="22"/>
          <w:szCs w:val="22"/>
          <w:vertAlign w:val="baseline"/>
          <w:rtl w:val="0"/>
        </w:rPr>
        <w:t xml:space="preserve">observaciones a la propuesta de reforma del Artículo 27, inciso c del Reglamento de Becas, planteada por la Vicerrectoría de Docencia, según oficio ViDa-457-2014, como se muestra en  el siguiente cuadro:</w:t>
      </w:r>
      <w:r w:rsidDel="00000000" w:rsidR="00000000" w:rsidRPr="00000000">
        <w:rPr>
          <w:rtl w:val="0"/>
        </w:rPr>
      </w:r>
    </w:p>
    <w:p w:rsidR="00000000" w:rsidDel="00000000" w:rsidP="00000000" w:rsidRDefault="00000000" w:rsidRPr="00000000">
      <w:pPr>
        <w:ind w:left="567" w:right="618" w:firstLine="0"/>
        <w:contextualSpacing w:val="0"/>
        <w:jc w:val="both"/>
      </w:pPr>
      <w:r w:rsidDel="00000000" w:rsidR="00000000" w:rsidRPr="00000000">
        <w:rPr>
          <w:rtl w:val="0"/>
        </w:rPr>
      </w:r>
    </w:p>
    <w:tbl>
      <w:tblPr>
        <w:tblStyle w:val="Table2"/>
        <w:bidi w:val="0"/>
        <w:tblW w:w="8109.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5"/>
        <w:gridCol w:w="4294"/>
        <w:tblGridChange w:id="0">
          <w:tblGrid>
            <w:gridCol w:w="3815"/>
            <w:gridCol w:w="4294"/>
          </w:tblGrid>
        </w:tblGridChange>
      </w:tblGrid>
      <w:tr>
        <w:tc>
          <w:tcPr/>
          <w:p w:rsidR="00000000" w:rsidDel="00000000" w:rsidP="00000000" w:rsidRDefault="00000000" w:rsidRPr="00000000">
            <w:pPr>
              <w:spacing w:after="200" w:lineRule="auto"/>
              <w:contextualSpacing w:val="0"/>
              <w:jc w:val="center"/>
            </w:pPr>
            <w:r w:rsidDel="00000000" w:rsidR="00000000" w:rsidRPr="00000000">
              <w:rPr>
                <w:rFonts w:ascii="Arial" w:cs="Arial" w:eastAsia="Arial" w:hAnsi="Arial"/>
                <w:b w:val="1"/>
                <w:i w:val="1"/>
                <w:color w:val="000000"/>
                <w:sz w:val="20"/>
                <w:szCs w:val="20"/>
                <w:vertAlign w:val="baseline"/>
                <w:rtl w:val="0"/>
              </w:rPr>
              <w:t xml:space="preserve">Actual</w:t>
            </w:r>
            <w:r w:rsidDel="00000000" w:rsidR="00000000" w:rsidRPr="00000000">
              <w:rPr>
                <w:rtl w:val="0"/>
              </w:rPr>
            </w:r>
          </w:p>
        </w:tc>
        <w:tc>
          <w:tcPr/>
          <w:p w:rsidR="00000000" w:rsidDel="00000000" w:rsidP="00000000" w:rsidRDefault="00000000" w:rsidRPr="00000000">
            <w:pPr>
              <w:spacing w:after="200" w:lineRule="auto"/>
              <w:contextualSpacing w:val="0"/>
              <w:jc w:val="center"/>
            </w:pPr>
            <w:r w:rsidDel="00000000" w:rsidR="00000000" w:rsidRPr="00000000">
              <w:rPr>
                <w:rFonts w:ascii="Arial" w:cs="Arial" w:eastAsia="Arial" w:hAnsi="Arial"/>
                <w:b w:val="1"/>
                <w:i w:val="1"/>
                <w:color w:val="000000"/>
                <w:sz w:val="20"/>
                <w:szCs w:val="20"/>
                <w:vertAlign w:val="baseline"/>
                <w:rtl w:val="0"/>
              </w:rPr>
              <w:t xml:space="preserve">Propuesta</w:t>
            </w:r>
            <w:r w:rsidDel="00000000" w:rsidR="00000000" w:rsidRPr="00000000">
              <w:rPr>
                <w:rtl w:val="0"/>
              </w:rPr>
            </w:r>
          </w:p>
        </w:tc>
      </w:tr>
      <w:tr>
        <w:trPr>
          <w:trHeight w:val="2480" w:hRule="atLeast"/>
        </w:trPr>
        <w:tc>
          <w:tcPr/>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i w:val="1"/>
                <w:color w:val="000000"/>
                <w:sz w:val="20"/>
                <w:szCs w:val="20"/>
                <w:vertAlign w:val="baseline"/>
                <w:rtl w:val="0"/>
              </w:rPr>
              <w:t xml:space="preserve">Artículo 27, inciso c)</w:t>
            </w: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i w:val="1"/>
                <w:color w:val="000000"/>
                <w:sz w:val="20"/>
                <w:szCs w:val="20"/>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ind w:left="601" w:right="474" w:hanging="283"/>
              <w:contextualSpacing w:val="0"/>
              <w:jc w:val="both"/>
            </w:pPr>
            <w:r w:rsidDel="00000000" w:rsidR="00000000" w:rsidRPr="00000000">
              <w:rPr>
                <w:rFonts w:ascii="Arial" w:cs="Arial" w:eastAsia="Arial" w:hAnsi="Arial"/>
                <w:i w:val="1"/>
                <w:color w:val="000000"/>
                <w:sz w:val="20"/>
                <w:szCs w:val="20"/>
                <w:vertAlign w:val="baseline"/>
                <w:rtl w:val="0"/>
              </w:rPr>
              <w:t xml:space="preserve">c. </w:t>
            </w:r>
            <w:r w:rsidDel="00000000" w:rsidR="00000000" w:rsidRPr="00000000">
              <w:rPr>
                <w:rFonts w:ascii="Arial" w:cs="Arial" w:eastAsia="Arial" w:hAnsi="Arial"/>
                <w:i w:val="1"/>
                <w:sz w:val="20"/>
                <w:szCs w:val="20"/>
                <w:vertAlign w:val="baseline"/>
                <w:rtl w:val="0"/>
              </w:rPr>
              <w:t xml:space="preserve">Haber obtenido evaluaciones en el desempeño del puesto superiores a 85 en los dos últimos años, o en el período laborado en caso de que tenga menos de dos años de contratado para lo establecido en el inciso d) del Artículo 3.”</w:t>
            </w: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tl w:val="0"/>
              </w:rPr>
            </w:r>
          </w:p>
        </w:tc>
        <w:tc>
          <w:tcPr/>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i w:val="1"/>
                <w:color w:val="000000"/>
                <w:sz w:val="20"/>
                <w:szCs w:val="20"/>
                <w:vertAlign w:val="baseline"/>
                <w:rtl w:val="0"/>
              </w:rPr>
              <w:t xml:space="preserve">Artículo 27, inciso c</w:t>
            </w: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i w:val="1"/>
                <w:color w:val="000000"/>
                <w:sz w:val="20"/>
                <w:szCs w:val="20"/>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spacing w:after="200" w:lineRule="auto"/>
              <w:ind w:left="217" w:hanging="217"/>
              <w:contextualSpacing w:val="0"/>
              <w:jc w:val="both"/>
            </w:pPr>
            <w:r w:rsidDel="00000000" w:rsidR="00000000" w:rsidRPr="00000000">
              <w:rPr>
                <w:rFonts w:ascii="Arial" w:cs="Arial" w:eastAsia="Arial" w:hAnsi="Arial"/>
                <w:i w:val="1"/>
                <w:color w:val="000000"/>
                <w:sz w:val="20"/>
                <w:szCs w:val="20"/>
                <w:vertAlign w:val="baseline"/>
                <w:rtl w:val="0"/>
              </w:rPr>
              <w:t xml:space="preserve">c. Haber obtenido un promedio mayor o igual a 85 en las evaluaciones en el desempeño del puesto disponible en los 24 meses anteriores a la fecha de recepción de la solicitud en el Comité de Becas. (…) </w:t>
            </w:r>
            <w:r w:rsidDel="00000000" w:rsidR="00000000" w:rsidRPr="00000000">
              <w:rPr>
                <w:rtl w:val="0"/>
              </w:rPr>
            </w:r>
          </w:p>
        </w:tc>
      </w:tr>
    </w:tbl>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sz w:val="22"/>
          <w:szCs w:val="22"/>
          <w:vertAlign w:val="baseline"/>
          <w:rtl w:val="0"/>
        </w:rPr>
        <w:t xml:space="preserve">En  el  mismo oficio adjunta criterio de Asesoría  Legal según  Oficio  AL-328-2014.   (</w:t>
      </w:r>
      <w:r w:rsidDel="00000000" w:rsidR="00000000" w:rsidRPr="00000000">
        <w:rPr>
          <w:rFonts w:ascii="Arial" w:cs="Arial" w:eastAsia="Arial" w:hAnsi="Arial"/>
          <w:color w:val="000000"/>
          <w:sz w:val="22"/>
          <w:szCs w:val="22"/>
          <w:vertAlign w:val="baseline"/>
          <w:rtl w:val="0"/>
        </w:rPr>
        <w:t xml:space="preserve">Ver Anexo 1)</w:t>
      </w:r>
      <w:r w:rsidDel="00000000" w:rsidR="00000000" w:rsidRPr="00000000">
        <w:rPr>
          <w:rtl w:val="0"/>
        </w:rPr>
      </w:r>
    </w:p>
    <w:p w:rsidR="00000000" w:rsidDel="00000000" w:rsidP="00000000" w:rsidRDefault="00000000" w:rsidRPr="00000000">
      <w:pPr>
        <w:numPr>
          <w:ilvl w:val="0"/>
          <w:numId w:val="1"/>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reunión No. 433-2014, realizada el jueves 18 de junio del 2014, analiza la </w:t>
      </w:r>
      <w:r w:rsidDel="00000000" w:rsidR="00000000" w:rsidRPr="00000000">
        <w:rPr>
          <w:rFonts w:ascii="Arial" w:cs="Arial" w:eastAsia="Arial" w:hAnsi="Arial"/>
          <w:sz w:val="22"/>
          <w:szCs w:val="22"/>
          <w:vertAlign w:val="baseline"/>
          <w:rtl w:val="0"/>
        </w:rPr>
        <w:t xml:space="preserve">modificación del Artículo 27, inciso c del Reglamento de Becas del Personal</w:t>
      </w:r>
      <w:r w:rsidDel="00000000" w:rsidR="00000000" w:rsidRPr="00000000">
        <w:rPr>
          <w:rFonts w:ascii="Arial" w:cs="Arial" w:eastAsia="Arial" w:hAnsi="Arial"/>
          <w:vertAlign w:val="baseline"/>
          <w:rtl w:val="0"/>
        </w:rPr>
        <w:t xml:space="preserve"> del ITCR</w:t>
      </w:r>
      <w:r w:rsidDel="00000000" w:rsidR="00000000" w:rsidRPr="00000000">
        <w:rPr>
          <w:rFonts w:ascii="Arial" w:cs="Arial" w:eastAsia="Arial" w:hAnsi="Arial"/>
          <w:sz w:val="22"/>
          <w:szCs w:val="22"/>
          <w:vertAlign w:val="baseline"/>
          <w:rtl w:val="0"/>
        </w:rPr>
        <w:t xml:space="preserve">, propuesta por la Vicerrectoría de Docencia</w:t>
      </w:r>
      <w:r w:rsidDel="00000000" w:rsidR="00000000" w:rsidRPr="00000000">
        <w:rPr>
          <w:rFonts w:ascii="Arial" w:cs="Arial" w:eastAsia="Arial" w:hAnsi="Arial"/>
          <w:vertAlign w:val="baseline"/>
          <w:rtl w:val="0"/>
        </w:rPr>
        <w:t xml:space="preserve">; así como los dictámenes de la Oficina de Planificación y de la Asesoría Legal del ITCR  y dispone elevar la siguiente propuesta al Pleno para su discusión y análisis.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Artículo 27, inciso c) del Reglamento de Becas para el Personal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del Instituto Tecnológico de Costa Rica, para que se lea:</w:t>
      </w: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Fonts w:ascii="Arial" w:cs="Arial" w:eastAsia="Arial" w:hAnsi="Arial"/>
          <w:vertAlign w:val="baseline"/>
          <w:rtl w:val="0"/>
        </w:rPr>
        <w:t xml:space="preserve">“Artículo 27</w:t>
      </w:r>
      <w:r w:rsidDel="00000000" w:rsidR="00000000" w:rsidRPr="00000000">
        <w:rPr>
          <w:rtl w:val="0"/>
        </w:rPr>
      </w:r>
    </w:p>
    <w:p w:rsidR="00000000" w:rsidDel="00000000" w:rsidP="00000000" w:rsidRDefault="00000000" w:rsidRPr="00000000">
      <w:pPr>
        <w:ind w:left="708" w:right="-91" w:firstLine="0"/>
        <w:contextualSpacing w:val="0"/>
      </w:pP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Fonts w:ascii="Arial" w:cs="Arial" w:eastAsia="Arial" w:hAnsi="Arial"/>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Fonts w:ascii="Arial" w:cs="Arial" w:eastAsia="Arial" w:hAnsi="Arial"/>
          <w:vertAlign w:val="baseline"/>
          <w:rtl w:val="0"/>
        </w:rPr>
        <w:t xml:space="preserve">a.</w:t>
      </w: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Fonts w:ascii="Arial" w:cs="Arial" w:eastAsia="Arial" w:hAnsi="Arial"/>
          <w:vertAlign w:val="baseline"/>
          <w:rtl w:val="0"/>
        </w:rPr>
        <w:t xml:space="preserve">b.</w:t>
      </w:r>
      <w:r w:rsidDel="00000000" w:rsidR="00000000" w:rsidRPr="00000000">
        <w:rPr>
          <w:rtl w:val="0"/>
        </w:rPr>
      </w:r>
    </w:p>
    <w:p w:rsidR="00000000" w:rsidDel="00000000" w:rsidP="00000000" w:rsidRDefault="00000000" w:rsidRPr="00000000">
      <w:pPr>
        <w:ind w:left="980" w:right="-91" w:hanging="272"/>
        <w:contextualSpacing w:val="0"/>
        <w:jc w:val="both"/>
      </w:pPr>
      <w:r w:rsidDel="00000000" w:rsidR="00000000" w:rsidRPr="00000000">
        <w:rPr>
          <w:rFonts w:ascii="Arial" w:cs="Arial" w:eastAsia="Arial" w:hAnsi="Arial"/>
          <w:vertAlign w:val="baseline"/>
          <w:rtl w:val="0"/>
        </w:rPr>
        <w:t xml:space="preserve">c. Haber obtenido un promedio mayor o igual a 85 en las evaluaciones en el desempeño del puesto disponible en los 24 meses anteriores a la fecha de recepción de la solicitud en el Comité de Becas. </w:t>
      </w:r>
      <w:r w:rsidDel="00000000" w:rsidR="00000000" w:rsidRPr="00000000">
        <w:rPr>
          <w:rtl w:val="0"/>
        </w:rPr>
      </w:r>
    </w:p>
    <w:p w:rsidR="00000000" w:rsidDel="00000000" w:rsidP="00000000" w:rsidRDefault="00000000" w:rsidRPr="00000000">
      <w:pPr>
        <w:ind w:left="980" w:right="-91" w:hanging="272"/>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8"/>
          <w:szCs w:val="18"/>
          <w:vertAlign w:val="baseline"/>
          <w:rtl w:val="0"/>
        </w:rPr>
        <w:t xml:space="preserve">Modificación – Reglamento Becas Personal Artículo 27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6"/>
        <w:bidi w:val="0"/>
        <w:tblW w:w="19360.0" w:type="dxa"/>
        <w:jc w:val="left"/>
        <w:tblInd w:w="-108.0" w:type="dxa"/>
        <w:tblLayout w:type="fixed"/>
        <w:tblLook w:val="0000"/>
      </w:tblPr>
      <w:tblGrid>
        <w:gridCol w:w="9680"/>
        <w:gridCol w:w="9680"/>
        <w:tblGridChange w:id="0">
          <w:tblGrid>
            <w:gridCol w:w="9680"/>
            <w:gridCol w:w="968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9464.0" w:type="dxa"/>
              <w:jc w:val="left"/>
              <w:tblLayout w:type="fixed"/>
              <w:tblLook w:val="0000"/>
            </w:tblPr>
            <w:tblGrid>
              <w:gridCol w:w="4361"/>
              <w:gridCol w:w="5103"/>
              <w:tblGridChange w:id="0">
                <w:tblGrid>
                  <w:gridCol w:w="4361"/>
                  <w:gridCol w:w="5103"/>
                </w:tblGrid>
              </w:tblGridChange>
            </w:tblGrid>
            <w:tr>
              <w:trPr>
                <w:trHeight w:val="212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9464.0" w:type="dxa"/>
              <w:jc w:val="left"/>
              <w:tblLayout w:type="fixed"/>
              <w:tblLook w:val="0000"/>
            </w:tblPr>
            <w:tblGrid>
              <w:gridCol w:w="4361"/>
              <w:gridCol w:w="5103"/>
              <w:tblGridChange w:id="0">
                <w:tblGrid>
                  <w:gridCol w:w="4361"/>
                  <w:gridCol w:w="5103"/>
                </w:tblGrid>
              </w:tblGridChange>
            </w:tblGrid>
            <w:tr>
              <w:trPr>
                <w:trHeight w:val="212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PhD. Floria Roa G., Profesora de la Escuela de Química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MBA. Ileana Moreira G., Directora Escuela de Biología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1</w:t>
      </w:r>
    </w:p>
    <w:p w:rsidR="00000000" w:rsidDel="00000000" w:rsidP="00000000" w:rsidRDefault="00000000" w:rsidRPr="00000000">
      <w:pPr>
        <w:spacing w:after="120" w:before="0" w:line="240" w:lineRule="auto"/>
        <w:contextualSpacing w:val="0"/>
      </w:pPr>
      <w:bookmarkStart w:colFirst="0" w:colLast="0" w:name="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OPI-401-2014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sz w:val="48"/>
          <w:szCs w:val="48"/>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Para:</w:t>
        <w:tab/>
        <w:tab/>
      </w:r>
      <w:r w:rsidDel="00000000" w:rsidR="00000000" w:rsidRPr="00000000">
        <w:rPr>
          <w:rFonts w:ascii="Arial" w:cs="Arial" w:eastAsia="Arial" w:hAnsi="Arial"/>
          <w:b w:val="1"/>
          <w:vertAlign w:val="baseline"/>
          <w:rtl w:val="0"/>
        </w:rPr>
        <w:t xml:space="preserve">Dr. Julio Calvo A., Presidente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tab/>
        <w:t xml:space="preserve">Consejo Institucional </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Fonts w:ascii="Arial" w:cs="Arial" w:eastAsia="Arial" w:hAnsi="Arial"/>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De:</w:t>
        <w:tab/>
        <w:tab/>
      </w:r>
      <w:r w:rsidDel="00000000" w:rsidR="00000000" w:rsidRPr="00000000">
        <w:rPr>
          <w:rFonts w:ascii="Arial" w:cs="Arial" w:eastAsia="Arial" w:hAnsi="Arial"/>
          <w:b w:val="1"/>
          <w:vertAlign w:val="baseline"/>
          <w:rtl w:val="0"/>
        </w:rPr>
        <w:t xml:space="preserve">MAU. Tatiana Fernández Martín, Directora </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Fonts w:ascii="Arial" w:cs="Arial" w:eastAsia="Arial" w:hAnsi="Arial"/>
          <w:b w:val="1"/>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Fecha:</w:t>
        <w:tab/>
        <w:t xml:space="preserve">18 de junio de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2"/>
          <w:szCs w:val="22"/>
          <w:vertAlign w:val="baseline"/>
          <w:rtl w:val="0"/>
        </w:rPr>
        <w:t xml:space="preserve">Asunto:</w:t>
        <w:tab/>
        <w:t xml:space="preserve">Remisión Propuesta de reforma del Artículo 27, inciso c, del Reglamento de Becas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 conformidad con el Artículo 6 del Reglamento de Normalización Institucional, sírvase encontrar adjunto las observaciones a reforma del Artículo 27, inciso c del Reglamento de Becas, elaborada por la Vicerrectoría de Docencia.  Asimismo  se adjunta criterio de Asesoría Legal según Oficio AL-328-2014.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Quedo a su disposición para atender cualquier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Adjunto: Lo indicado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YMD/kcg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ci:</w:t>
        <w:tab/>
        <w:t xml:space="preserve">Ing. Luis Paulino Méndez, Vic. de Docencia</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b w:val="1"/>
          <w:sz w:val="20"/>
          <w:szCs w:val="20"/>
          <w:vertAlign w:val="baseline"/>
          <w:rtl w:val="0"/>
        </w:rPr>
        <w:t xml:space="preserve">Archivo</w:t>
      </w: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rFonts w:ascii="Arial" w:cs="Arial" w:eastAsia="Arial" w:hAnsi="Arial"/>
          <w:b w:val="1"/>
          <w:sz w:val="20"/>
          <w:szCs w:val="20"/>
          <w:vertAlign w:val="baseline"/>
          <w:rtl w:val="0"/>
        </w:rPr>
        <w:t xml:space="preserve">Ing, Jorge Chaves, Comisión Asuntos Académicos</w:t>
      </w:r>
      <w:r w:rsidDel="00000000" w:rsidR="00000000" w:rsidRPr="00000000">
        <w:rPr>
          <w:rtl w:val="0"/>
        </w:rPr>
      </w:r>
    </w:p>
    <w:tbl>
      <w:tblPr>
        <w:tblStyle w:val="Table7"/>
        <w:bidi w:val="0"/>
        <w:tblW w:w="103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2410"/>
        <w:gridCol w:w="2694"/>
        <w:gridCol w:w="2835"/>
        <w:tblGridChange w:id="0">
          <w:tblGrid>
            <w:gridCol w:w="2405"/>
            <w:gridCol w:w="2410"/>
            <w:gridCol w:w="2694"/>
            <w:gridCol w:w="2835"/>
          </w:tblGrid>
        </w:tblGridChange>
      </w:tblGrid>
      <w:tr>
        <w:trPr>
          <w:trHeight w:val="12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sz w:val="20"/>
                <w:szCs w:val="20"/>
                <w:vertAlign w:val="baseline"/>
                <w:rtl w:val="0"/>
              </w:rPr>
              <w:t xml:space="preserve">OBSERVACIONES A LA REFORMA DEL ARTÍCULO 27, INCISO C </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Fonts w:ascii="Arial" w:cs="Arial" w:eastAsia="Arial" w:hAnsi="Arial"/>
                <w:b w:val="1"/>
                <w:sz w:val="20"/>
                <w:szCs w:val="20"/>
                <w:vertAlign w:val="baseline"/>
                <w:rtl w:val="0"/>
              </w:rPr>
              <w:t xml:space="preserve">REGLAMENTO DE BECAS</w:t>
            </w:r>
            <w:r w:rsidDel="00000000" w:rsidR="00000000" w:rsidRPr="00000000">
              <w:rPr>
                <w:rtl w:val="0"/>
              </w:rPr>
            </w:r>
          </w:p>
          <w:p w:rsidR="00000000" w:rsidDel="00000000" w:rsidP="00000000" w:rsidRDefault="00000000" w:rsidRPr="00000000">
            <w:pPr>
              <w:ind w:left="1418" w:hanging="1418"/>
              <w:contextualSpacing w:val="0"/>
              <w:jc w:val="center"/>
            </w:pPr>
            <w:r w:rsidDel="00000000" w:rsidR="00000000" w:rsidRPr="00000000">
              <w:rPr>
                <w:rtl w:val="0"/>
              </w:rPr>
            </w:r>
          </w:p>
          <w:p w:rsidR="00000000" w:rsidDel="00000000" w:rsidP="00000000" w:rsidRDefault="00000000" w:rsidRPr="00000000">
            <w:pPr>
              <w:ind w:left="1418" w:hanging="1418"/>
              <w:contextualSpacing w:val="0"/>
              <w:jc w:val="center"/>
            </w:pPr>
            <w:r w:rsidDel="00000000" w:rsidR="00000000" w:rsidRPr="00000000">
              <w:rPr>
                <w:rtl w:val="0"/>
              </w:rPr>
            </w:r>
          </w:p>
          <w:p w:rsidR="00000000" w:rsidDel="00000000" w:rsidP="00000000" w:rsidRDefault="00000000" w:rsidRPr="00000000">
            <w:pPr>
              <w:ind w:left="1418" w:hanging="1418"/>
              <w:contextualSpacing w:val="0"/>
              <w:jc w:val="center"/>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Fonts w:ascii="Arial" w:cs="Arial" w:eastAsia="Arial" w:hAnsi="Arial"/>
                <w:b w:val="1"/>
                <w:sz w:val="20"/>
                <w:szCs w:val="20"/>
                <w:vertAlign w:val="baseline"/>
                <w:rtl w:val="0"/>
              </w:rPr>
              <w:t xml:space="preserve">ELABORADO POR:</w:t>
            </w:r>
            <w:r w:rsidDel="00000000" w:rsidR="00000000" w:rsidRPr="00000000">
              <w:rPr>
                <w:rFonts w:ascii="Arial" w:cs="Arial" w:eastAsia="Arial" w:hAnsi="Arial"/>
                <w:sz w:val="20"/>
                <w:szCs w:val="20"/>
                <w:vertAlign w:val="baseline"/>
                <w:rtl w:val="0"/>
              </w:rPr>
              <w:tab/>
              <w:t xml:space="preserve">MAE. Karla Castro Garro, Oficina de Planificación Institucional</w:t>
            </w: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780"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ANTECEDENTES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Vicerrectoría de Docencia mediante oficio VIDA-457-2014, del 13 de junio del 2014, remite modificación del artículo 27, inciso c del Reglamento de Becas.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Mediante oficio OPI-388-2014, del 16 de junio del año en curso, se solicita a la Directora de la Oficina de Asesoría Legal el respectivo dictamen a la propuesta de modificación del artículo 27, inciso c del Reglamento de Becas, en atención al Artículo 7 del Reglamento de Normalización.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144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Se recibe oficio Asesoría Legal-328-2014, con fecha 17 de junio del presente, en el cual remite criterio legal  a la propuesta de modificación </w:t>
            </w:r>
            <w:r w:rsidDel="00000000" w:rsidR="00000000" w:rsidRPr="00000000">
              <w:rPr>
                <w:rFonts w:ascii="Arial" w:cs="Arial" w:eastAsia="Arial" w:hAnsi="Arial"/>
                <w:vertAlign w:val="baseline"/>
                <w:rtl w:val="0"/>
              </w:rPr>
              <w:t xml:space="preserve">del artículo 27, inciso c del Reglamento de Becas.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780"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LAS OBSERVACIONES A LA PROPUESTA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1440" w:hanging="360"/>
              <w:contextualSpacing w:val="1"/>
              <w:rPr>
                <w:rFonts w:ascii="Arial" w:cs="Arial" w:eastAsia="Arial" w:hAnsi="Arial"/>
                <w:b w:val="0"/>
                <w:sz w:val="24"/>
                <w:szCs w:val="24"/>
              </w:rPr>
            </w:pPr>
            <w:r w:rsidDel="00000000" w:rsidR="00000000" w:rsidRPr="00000000">
              <w:rPr>
                <w:rFonts w:ascii="Arial" w:cs="Arial" w:eastAsia="Arial" w:hAnsi="Arial"/>
                <w:vertAlign w:val="baseline"/>
                <w:rtl w:val="0"/>
              </w:rPr>
              <w:t xml:space="preserve">Generalidades</w:t>
            </w:r>
            <w:r w:rsidDel="00000000" w:rsidR="00000000" w:rsidRPr="00000000">
              <w:rPr>
                <w:rtl w:val="0"/>
              </w:rPr>
            </w:r>
          </w:p>
          <w:p w:rsidR="00000000" w:rsidDel="00000000" w:rsidP="00000000" w:rsidRDefault="00000000" w:rsidRPr="00000000">
            <w:pPr>
              <w:ind w:left="1872"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1872" w:hanging="360"/>
              <w:contextualSpacing w:val="1"/>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Según criterio Asesoría Legal-328-2014 del 17 de junio del año en curso, la Asesoría Legal </w:t>
            </w:r>
            <w:r w:rsidDel="00000000" w:rsidR="00000000" w:rsidRPr="00000000">
              <w:rPr>
                <w:rFonts w:ascii="Arial" w:cs="Arial" w:eastAsia="Arial" w:hAnsi="Arial"/>
                <w:i w:val="1"/>
                <w:vertAlign w:val="baseline"/>
                <w:rtl w:val="0"/>
              </w:rPr>
              <w:t xml:space="preserve">“no tiene objeción a dicha modificación por cuanto la misma se ajusta al principio de Autonomía Universitaria constitucionalmente otorgada en el artículo 84. </w:t>
            </w:r>
            <w:r w:rsidDel="00000000" w:rsidR="00000000" w:rsidRPr="00000000">
              <w:rPr>
                <w:rtl w:val="0"/>
              </w:rPr>
            </w:r>
          </w:p>
          <w:p w:rsidR="00000000" w:rsidDel="00000000" w:rsidP="00000000" w:rsidRDefault="00000000" w:rsidRPr="00000000">
            <w:pPr>
              <w:ind w:left="1872"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1872" w:hanging="360"/>
              <w:contextualSpacing w:val="1"/>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La Oficina de Planificación no tiene observaciones a la propuesta y  presenta en el siguiente cuadro la propuesta final.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tl w:val="0"/>
              </w:rPr>
            </w:r>
          </w:p>
          <w:p w:rsidR="00000000" w:rsidDel="00000000" w:rsidP="00000000" w:rsidRDefault="00000000" w:rsidRPr="00000000">
            <w:pPr>
              <w:spacing w:after="100" w:before="0" w:lineRule="auto"/>
              <w:ind w:right="3725"/>
              <w:contextualSpacing w:val="0"/>
              <w:jc w:val="center"/>
            </w:pPr>
            <w:r w:rsidDel="00000000" w:rsidR="00000000" w:rsidRPr="00000000">
              <w:rPr>
                <w:rtl w:val="0"/>
              </w:rPr>
            </w:r>
          </w:p>
        </w:tc>
      </w:tr>
      <w:tr>
        <w:trPr>
          <w:trHeight w:val="280" w:hRule="atLeast"/>
        </w:trPr>
        <w:tc>
          <w:tcPr>
            <w:tcBorders>
              <w:top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Vigente</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Propuesta por la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Vicerrectoría de Docencia</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  Observaciones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ind w:right="318"/>
              <w:contextualSpacing w:val="0"/>
              <w:jc w:val="center"/>
            </w:pPr>
            <w:r w:rsidDel="00000000" w:rsidR="00000000" w:rsidRPr="00000000">
              <w:rPr>
                <w:rFonts w:ascii="Arial" w:cs="Arial" w:eastAsia="Arial" w:hAnsi="Arial"/>
                <w:b w:val="1"/>
                <w:sz w:val="22"/>
                <w:szCs w:val="22"/>
                <w:vertAlign w:val="baseline"/>
                <w:rtl w:val="0"/>
              </w:rPr>
              <w:t xml:space="preserve">Observaciones</w:t>
            </w:r>
            <w:r w:rsidDel="00000000" w:rsidR="00000000" w:rsidRPr="00000000">
              <w:rPr>
                <w:rtl w:val="0"/>
              </w:rPr>
            </w:r>
          </w:p>
          <w:p w:rsidR="00000000" w:rsidDel="00000000" w:rsidP="00000000" w:rsidRDefault="00000000" w:rsidRPr="00000000">
            <w:pPr>
              <w:ind w:right="318"/>
              <w:contextualSpacing w:val="0"/>
              <w:jc w:val="center"/>
            </w:pPr>
            <w:r w:rsidDel="00000000" w:rsidR="00000000" w:rsidRPr="00000000">
              <w:rPr>
                <w:rFonts w:ascii="Arial" w:cs="Arial" w:eastAsia="Arial" w:hAnsi="Arial"/>
                <w:b w:val="1"/>
                <w:sz w:val="22"/>
                <w:szCs w:val="22"/>
                <w:vertAlign w:val="baseline"/>
                <w:rtl w:val="0"/>
              </w:rPr>
              <w:t xml:space="preserve">de la OPI</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vertAlign w:val="baseline"/>
                <w:rtl w:val="0"/>
              </w:rPr>
              <w:t xml:space="preserve">Artículo 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vertAlign w:val="baseline"/>
                <w:rtl w:val="0"/>
              </w:rPr>
              <w:t xml:space="preserve">Artículo 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vertAlign w:val="baseline"/>
                <w:rtl w:val="0"/>
              </w:rPr>
              <w:t xml:space="preserve">Artículo 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vertAlign w:val="baseline"/>
                <w:rtl w:val="0"/>
              </w:rPr>
              <w:t xml:space="preserve">Artículo 27</w:t>
            </w:r>
            <w:r w:rsidDel="00000000" w:rsidR="00000000" w:rsidRPr="00000000">
              <w:rPr>
                <w:rtl w:val="0"/>
              </w:rPr>
            </w:r>
          </w:p>
        </w:tc>
      </w:tr>
      <w:tr>
        <w:trPr>
          <w:trHeight w:val="600" w:hRule="atLeast"/>
        </w:trP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18"/>
                <w:szCs w:val="18"/>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Haber obtenido evaluaciones en el desempeño del puesto superiores a 85 en los dos últimos años, o en el período laborado en caso de que tenga menos de dos años de contratado para lo establecido en el inciso</w:t>
            </w:r>
            <w:r w:rsidDel="00000000" w:rsidR="00000000" w:rsidRPr="00000000">
              <w:rPr>
                <w:rFonts w:ascii="Verdana" w:cs="Verdana" w:eastAsia="Verdana" w:hAnsi="Verdana"/>
                <w:color w:val="4682b4"/>
                <w:sz w:val="18"/>
                <w:szCs w:val="18"/>
                <w:vertAlign w:val="baseline"/>
                <w:rtl w:val="0"/>
              </w:rPr>
              <w:t xml:space="preserve"> </w:t>
            </w:r>
            <w:r w:rsidDel="00000000" w:rsidR="00000000" w:rsidRPr="00000000">
              <w:rPr>
                <w:rFonts w:ascii="Verdana" w:cs="Verdana" w:eastAsia="Verdana" w:hAnsi="Verdana"/>
                <w:sz w:val="18"/>
                <w:szCs w:val="18"/>
                <w:vertAlign w:val="baseline"/>
                <w:rtl w:val="0"/>
              </w:rPr>
              <w:t xml:space="preserve">d) del 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18"/>
                <w:szCs w:val="18"/>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Verdana" w:cs="Verdana" w:eastAsia="Verdana" w:hAnsi="Verdana"/>
                <w:sz w:val="18"/>
                <w:szCs w:val="18"/>
                <w:vertAlign w:val="baseline"/>
                <w:rtl w:val="0"/>
              </w:rPr>
              <w:t xml:space="preserve">(…) c.  Haber obtenido un promedio mayor o igual a 85 en las evaluaciones en el desempeño del puesto disponible en los 24 meses anteriores a la fecha de recepción de la solicitud en el Comité de Becas. (…)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100" w:before="100" w:lineRule="auto"/>
              <w:contextualSpacing w:val="0"/>
              <w:jc w:val="both"/>
            </w:pPr>
            <w:r w:rsidDel="00000000" w:rsidR="00000000" w:rsidRPr="00000000">
              <w:rPr>
                <w:rFonts w:ascii="Verdana" w:cs="Verdana" w:eastAsia="Verdana" w:hAnsi="Verdana"/>
                <w:sz w:val="18"/>
                <w:szCs w:val="18"/>
                <w:vertAlign w:val="baseline"/>
                <w:rtl w:val="0"/>
              </w:rPr>
              <w:t xml:space="preserve">No tiene objeción a la propuesta</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18"/>
                <w:szCs w:val="18"/>
                <w:vertAlign w:val="baseline"/>
                <w:rtl w:val="0"/>
              </w:rPr>
              <w:t xml:space="preserve">Para optar por una beca, el candidato debe cumplir con los siguientes requisitos dentro del Instituto.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Verdana" w:cs="Verdana" w:eastAsia="Verdana" w:hAnsi="Verdana"/>
                <w:sz w:val="18"/>
                <w:szCs w:val="18"/>
                <w:vertAlign w:val="baseline"/>
                <w:rtl w:val="0"/>
              </w:rPr>
              <w:t xml:space="preserve">(…) c.  Haber obtenido un promedio mayor o igual a 85 en las evaluaciones en el desempeño del puesto disponible en los 24 meses anteriores a la fecha de recepción de la solicitud en el Comité de Becas. (…)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2875, Artículo 7, del 25 de junio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lvl w:ilvl="0">
      <w:start w:val="1"/>
      <w:numFmt w:val="upp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5">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