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SCI-063-2016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Paola Vega, Vicerrectora de VIE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Lic. Roxana Jiménez, Directora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Grettel Ortiz, Directora 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de febrero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2959, Artículo 11, del 17 de febrero de 2016.  Modificación de la Norma Reglamentaria del Estatuto Orgánico en relación con el Proceso de Elección y sustitución temporal del Director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375"/>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No. 1884, Artículo 20, celebrada el 9 de mayo de 1996, aprobó la “Norma Reglamentaria del Estatuto Orgánico en relación al Proceso de Elección y sustitución temporal del Director”.</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375"/>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por medio del análisis de la Normativa Institucional, que realiza con la colaboración de la Licda. Bertalía Sánchez, del Lic. William Buckley Buckley, Lic. Eduardo Arcia Villalobos y el Máster Jorge Chaves, determinó que el título de dicha normativa, presenta un uso inadecuado de la preposición “al”, pues de acuerdo con las normas de redacción y ortografía, lo que procede es utilizar la preposición “con”.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hanging="568"/>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375"/>
        <w:jc w:val="both"/>
        <w:rPr>
          <w:rFonts w:ascii="Arial" w:cs="Arial" w:eastAsia="Arial" w:hAnsi="Arial"/>
        </w:rPr>
      </w:pPr>
      <w:r w:rsidDel="00000000" w:rsidR="00000000" w:rsidRPr="00000000">
        <w:rPr>
          <w:rFonts w:ascii="Arial" w:cs="Arial" w:eastAsia="Arial" w:hAnsi="Arial"/>
          <w:vertAlign w:val="baseline"/>
          <w:rtl w:val="0"/>
        </w:rPr>
        <w:t xml:space="preserve">Modificar el título: “Norma Reglamentaria del Estatuto Orgánico en relación al Proceso de Elección y sustitución temporal del Director”, para que se lea correctamente: “Norma Reglamentaria del Estatuto Orgánico en relación </w:t>
      </w:r>
      <w:r w:rsidDel="00000000" w:rsidR="00000000" w:rsidRPr="00000000">
        <w:rPr>
          <w:rFonts w:ascii="Arial" w:cs="Arial" w:eastAsia="Arial" w:hAnsi="Arial"/>
          <w:b w:val="1"/>
          <w:vertAlign w:val="baseline"/>
          <w:rtl w:val="0"/>
        </w:rPr>
        <w:t xml:space="preserve">con el</w:t>
      </w:r>
      <w:r w:rsidDel="00000000" w:rsidR="00000000" w:rsidRPr="00000000">
        <w:rPr>
          <w:rFonts w:ascii="Arial" w:cs="Arial" w:eastAsia="Arial" w:hAnsi="Arial"/>
          <w:vertAlign w:val="baseline"/>
          <w:rtl w:val="0"/>
        </w:rPr>
        <w:t xml:space="preserve"> Proceso de Elección y sustitución temporal del Director”.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284" w:hanging="375"/>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modificación – norma – reglamentaria – estatuto orgánico  – proceso – elección – sustitución – temporal - Director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Oficina Asesoría Legal (PUBLICAR)</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2959, Artículo 11, del 17 de febrero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35"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35"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