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SCI-291-2016</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 Julio Calvo Alvarado, Rector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Sr. Marco William Quesada, Director Secretaría del Directorio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Asamblea Legislativa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25 de mayo de 2016</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2972, Artículo 9, del 25 de mayo de 2016.   Proyecto de Ley Reforma Integral a la Ley General del VIH, Expediente No. 19.243</w:t>
            </w: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tl w:val="0"/>
        </w:rPr>
      </w:r>
    </w:p>
    <w:p w:rsidR="00000000" w:rsidDel="00000000" w:rsidP="00000000" w:rsidRDefault="00000000" w:rsidRPr="00000000">
      <w:pPr>
        <w:numPr>
          <w:ilvl w:val="0"/>
          <w:numId w:val="1"/>
        </w:numPr>
        <w:ind w:left="426" w:hanging="360"/>
        <w:jc w:val="both"/>
        <w:rPr/>
      </w:pPr>
      <w:r w:rsidDel="00000000" w:rsidR="00000000" w:rsidRPr="00000000">
        <w:rPr>
          <w:rFonts w:ascii="Arial" w:cs="Arial" w:eastAsia="Arial" w:hAnsi="Arial"/>
          <w:vertAlign w:val="baseline"/>
          <w:rtl w:val="0"/>
        </w:rPr>
        <w:t xml:space="preserve">La Secretaría del Consejo Institucional recibe mediante correo electrónico, oficio de referencia AL-DSDI-OFI-109-16, con fecha de recibido 15 de marzo de 2016, suscrito por el Sr. Marco William Quesada, Director Secretaría del Directorio de la Asamblea Legislativa, dirigido al Dr. Julio Calvo, Rector, en el cual solicita criterio del Proyecto de “ Reforma Integral a la Ley General del VIH,  Expediente No. 19.243,  y solicita criterio  sobre el mismo. (Anexo 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26" w:hanging="360"/>
        <w:jc w:val="both"/>
        <w:rPr/>
      </w:pPr>
      <w:r w:rsidDel="00000000" w:rsidR="00000000" w:rsidRPr="00000000">
        <w:rPr>
          <w:rFonts w:ascii="Arial" w:cs="Arial" w:eastAsia="Arial" w:hAnsi="Arial"/>
          <w:vertAlign w:val="baseline"/>
          <w:rtl w:val="0"/>
        </w:rPr>
        <w:t xml:space="preserve">El precitado oficio fue conocido por el Consejo Institucional en la Sesión Ordinaria No. 2964 del Consejo Institucional, celebrada el día 30 de marzo  2016, y se dispone remitirlo en consulta al Departamento de Trabajo Social y Salud y a la Oficina de Equidad de Género. (Anexo 2)</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1"/>
        </w:numPr>
        <w:ind w:left="426" w:hanging="360"/>
        <w:jc w:val="both"/>
        <w:rPr/>
      </w:pPr>
      <w:r w:rsidDel="00000000" w:rsidR="00000000" w:rsidRPr="00000000">
        <w:rPr>
          <w:rFonts w:ascii="Arial" w:cs="Arial" w:eastAsia="Arial" w:hAnsi="Arial"/>
          <w:vertAlign w:val="baseline"/>
          <w:rtl w:val="0"/>
        </w:rPr>
        <w:t xml:space="preserve">Lista de oficios anexos:</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sz w:val="22"/>
          <w:szCs w:val="22"/>
          <w:vertAlign w:val="baseline"/>
          <w:rtl w:val="0"/>
        </w:rPr>
        <w:t xml:space="preserve">Anexo 1</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tbl>
      <w:tblPr>
        <w:tblStyle w:val="Table2"/>
        <w:bidi w:val="0"/>
        <w:tblW w:w="8311.0" w:type="dxa"/>
        <w:jc w:val="left"/>
        <w:tblInd w:w="3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3"/>
        <w:gridCol w:w="5618"/>
        <w:tblGridChange w:id="0">
          <w:tblGrid>
            <w:gridCol w:w="2693"/>
            <w:gridCol w:w="5618"/>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AL-DSDI-OFI-109-16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Correo Electrónico, con  fecha de recibido 15 de marzo de 2016, de la Asamblea Legislativa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Solicitud de criterio al Instituto Tecnológico de Costa Rica sobre Proyecto de Ley “ Reforma Integral a la Ley General del VIH”, Expediente No. 19.243.</w:t>
            </w:r>
            <w:r w:rsidDel="00000000" w:rsidR="00000000" w:rsidRPr="00000000">
              <w:rPr>
                <w:rtl w:val="0"/>
              </w:rPr>
            </w:r>
          </w:p>
        </w:tc>
      </w:tr>
    </w:tbl>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sz w:val="22"/>
          <w:szCs w:val="22"/>
          <w:vertAlign w:val="baseline"/>
          <w:rtl w:val="0"/>
        </w:rPr>
        <w:t xml:space="preserve">Anexo 2</w:t>
      </w:r>
      <w:r w:rsidDel="00000000" w:rsidR="00000000" w:rsidRPr="00000000">
        <w:rPr>
          <w:rtl w:val="0"/>
        </w:rPr>
      </w:r>
    </w:p>
    <w:tbl>
      <w:tblPr>
        <w:tblStyle w:val="Table3"/>
        <w:bidi w:val="0"/>
        <w:tblW w:w="8311.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3"/>
        <w:gridCol w:w="5648"/>
        <w:tblGridChange w:id="0">
          <w:tblGrid>
            <w:gridCol w:w="2663"/>
            <w:gridCol w:w="5648"/>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SCI-156-2016, del 30 de marzo  de 2016</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Solicitud de criterio al Departamento de Trabajo Social y Salud y a la Oficina de Equidad de Género, sobre el Proyecto de Ley “ Reforma Integral a la Ley General del VIH”,  Expediente No. 19.243.</w:t>
            </w:r>
            <w:r w:rsidDel="00000000" w:rsidR="00000000" w:rsidRPr="00000000">
              <w:rPr>
                <w:rtl w:val="0"/>
              </w:rPr>
            </w:r>
          </w:p>
        </w:tc>
      </w:tr>
    </w:tbl>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sz w:val="22"/>
          <w:szCs w:val="22"/>
          <w:vertAlign w:val="baseline"/>
          <w:rtl w:val="0"/>
        </w:rPr>
        <w:t xml:space="preserve">Anexo 3</w:t>
      </w:r>
      <w:r w:rsidDel="00000000" w:rsidR="00000000" w:rsidRPr="00000000">
        <w:rPr>
          <w:rtl w:val="0"/>
        </w:rPr>
      </w:r>
    </w:p>
    <w:tbl>
      <w:tblPr>
        <w:tblStyle w:val="Table4"/>
        <w:bidi w:val="0"/>
        <w:tblW w:w="8311.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3"/>
        <w:gridCol w:w="5648"/>
        <w:tblGridChange w:id="0">
          <w:tblGrid>
            <w:gridCol w:w="2663"/>
            <w:gridCol w:w="5648"/>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SCI-260-2016, del 13 de mayo  de 2016</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Recordatorio sobre la solicitud de criterio al a la Oficina de Equidad de Género, sobre el Proyecto de Ley “ Reforma Integral a la Ley General del VIH”, Expediente No. 19.243.</w:t>
            </w:r>
            <w:r w:rsidDel="00000000" w:rsidR="00000000" w:rsidRPr="00000000">
              <w:rPr>
                <w:rtl w:val="0"/>
              </w:rPr>
            </w:r>
          </w:p>
        </w:tc>
      </w:tr>
    </w:tbl>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sz w:val="22"/>
          <w:szCs w:val="22"/>
          <w:vertAlign w:val="baseline"/>
          <w:rtl w:val="0"/>
        </w:rPr>
        <w:t xml:space="preserve">Anexo 4</w:t>
      </w:r>
      <w:r w:rsidDel="00000000" w:rsidR="00000000" w:rsidRPr="00000000">
        <w:rPr>
          <w:rtl w:val="0"/>
        </w:rPr>
      </w:r>
    </w:p>
    <w:tbl>
      <w:tblPr>
        <w:tblStyle w:val="Table5"/>
        <w:bidi w:val="0"/>
        <w:tblW w:w="831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3"/>
        <w:gridCol w:w="5648"/>
        <w:tblGridChange w:id="0">
          <w:tblGrid>
            <w:gridCol w:w="2663"/>
            <w:gridCol w:w="5648"/>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Asunto</w:t>
            </w:r>
            <w:r w:rsidDel="00000000" w:rsidR="00000000" w:rsidRPr="00000000">
              <w:rPr>
                <w:rtl w:val="0"/>
              </w:rPr>
            </w:r>
          </w:p>
        </w:tc>
      </w:tr>
      <w:tr>
        <w:trPr>
          <w:trHeight w:val="1980" w:hRule="atLeast"/>
        </w:trPr>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TSS-231-2016, del 12 de abril de 2016</w:t>
            </w:r>
            <w:r w:rsidDel="00000000" w:rsidR="00000000" w:rsidRPr="00000000">
              <w:rPr>
                <w:rtl w:val="0"/>
              </w:rPr>
            </w:r>
          </w:p>
        </w:tc>
        <w:tc>
          <w:tcPr/>
          <w:p w:rsidR="00000000" w:rsidDel="00000000" w:rsidP="00000000" w:rsidRDefault="00000000" w:rsidRPr="00000000">
            <w:pPr>
              <w:spacing w:after="100" w:lineRule="auto"/>
              <w:contextualSpacing w:val="0"/>
              <w:jc w:val="both"/>
            </w:pPr>
            <w:r w:rsidDel="00000000" w:rsidR="00000000" w:rsidRPr="00000000">
              <w:rPr>
                <w:rFonts w:ascii="Arial" w:cs="Arial" w:eastAsia="Arial" w:hAnsi="Arial"/>
                <w:sz w:val="22"/>
                <w:szCs w:val="22"/>
                <w:vertAlign w:val="baseline"/>
                <w:rtl w:val="0"/>
              </w:rPr>
              <w:t xml:space="preserve">Pronunciamiento del Departamento de Trabajo Social y Salud,  sobre el Proyecto de “Reforma Integral a la Ley General del VIH”, Expediente No. 19.243.  Indican que ese departamento no encuentra nada que atente en su contenido con la Autonomía Universitaria y se considera  de alto interés nacional, por lo tanto se recomienda apoyar dicho proyecto.</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sz w:val="22"/>
          <w:szCs w:val="22"/>
          <w:vertAlign w:val="baseline"/>
          <w:rtl w:val="0"/>
        </w:rPr>
        <w:t xml:space="preserve">Anexo 5</w:t>
      </w:r>
      <w:r w:rsidDel="00000000" w:rsidR="00000000" w:rsidRPr="00000000">
        <w:rPr>
          <w:rtl w:val="0"/>
        </w:rPr>
      </w:r>
    </w:p>
    <w:tbl>
      <w:tblPr>
        <w:tblStyle w:val="Table6"/>
        <w:bidi w:val="0"/>
        <w:tblW w:w="831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3"/>
        <w:gridCol w:w="5648"/>
        <w:tblGridChange w:id="0">
          <w:tblGrid>
            <w:gridCol w:w="2663"/>
            <w:gridCol w:w="5648"/>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Asunto</w:t>
            </w:r>
            <w:r w:rsidDel="00000000" w:rsidR="00000000" w:rsidRPr="00000000">
              <w:rPr>
                <w:rtl w:val="0"/>
              </w:rPr>
            </w:r>
          </w:p>
        </w:tc>
      </w:tr>
      <w:tr>
        <w:trPr>
          <w:trHeight w:val="1980" w:hRule="atLeast"/>
        </w:trPr>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OEG-108-2016, del 17 de mayo del 2016.</w:t>
            </w:r>
            <w:r w:rsidDel="00000000" w:rsidR="00000000" w:rsidRPr="00000000">
              <w:rPr>
                <w:rtl w:val="0"/>
              </w:rPr>
            </w:r>
          </w:p>
        </w:tc>
        <w:tc>
          <w:tcPr/>
          <w:p w:rsidR="00000000" w:rsidDel="00000000" w:rsidP="00000000" w:rsidRDefault="00000000" w:rsidRPr="00000000">
            <w:pPr>
              <w:spacing w:after="100" w:lineRule="auto"/>
              <w:contextualSpacing w:val="0"/>
              <w:jc w:val="both"/>
            </w:pPr>
            <w:r w:rsidDel="00000000" w:rsidR="00000000" w:rsidRPr="00000000">
              <w:rPr>
                <w:rFonts w:ascii="Arial" w:cs="Arial" w:eastAsia="Arial" w:hAnsi="Arial"/>
                <w:sz w:val="22"/>
                <w:szCs w:val="22"/>
                <w:vertAlign w:val="baseline"/>
                <w:rtl w:val="0"/>
              </w:rPr>
              <w:t xml:space="preserve">Pronunciamiento de la Oficina de Equidad de Género,  sobre el Proyecto de “Reforma Integral a la Ley General del VIH”, Expediente No. 19.243.  Proponen una serie de observaciones y  recomendaciones al proyecto.</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Apoyar el Proyecto de “Reforma Integral a la Ley General del VIH”, Expediente No. 19.243.</w:t>
      </w: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al Directorio  de la Asamblea Legislativa, tomar en consideración las observaciones y recomendaciones emitidas por los entes consultados de esta Institución.</w:t>
      </w: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spacing w:after="0" w:before="240" w:line="24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Fonts w:ascii="Arial" w:cs="Arial" w:eastAsia="Arial" w:hAnsi="Arial"/>
          <w:b w:val="1"/>
          <w:sz w:val="20"/>
          <w:szCs w:val="20"/>
          <w:vertAlign w:val="baseline"/>
          <w:rtl w:val="0"/>
        </w:rPr>
        <w:t xml:space="preserve">PALABRAS CLAVE: Proyecto- Reforma Integral – Ley VIH Exp 19.243</w:t>
      </w: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ind w:right="-91"/>
        <w:contextualSpacing w:val="0"/>
        <w:jc w:val="both"/>
      </w:pPr>
      <w:bookmarkStart w:colFirst="0" w:colLast="0" w:name="_gjdgxs" w:id="0"/>
      <w:bookmarkEnd w:id="0"/>
      <w:r w:rsidDel="00000000" w:rsidR="00000000" w:rsidRPr="00000000">
        <w:drawing>
          <wp:inline distB="0" distT="0" distL="114300" distR="114300">
            <wp:extent cx="960755" cy="624840"/>
            <wp:effectExtent b="0" l="0" r="0" t="0"/>
            <wp:docPr id="1" name="image03.png"/>
            <a:graphic>
              <a:graphicData uri="http://schemas.openxmlformats.org/drawingml/2006/picture">
                <pic:pic>
                  <pic:nvPicPr>
                    <pic:cNvPr id="0" name="image03.png"/>
                    <pic:cNvPicPr preferRelativeResize="0"/>
                  </pic:nvPicPr>
                  <pic:blipFill>
                    <a:blip r:embed="rId5"/>
                    <a:srcRect b="0" l="0" r="0" t="0"/>
                    <a:stretch>
                      <a:fillRect/>
                    </a:stretch>
                  </pic:blipFill>
                  <pic:spPr>
                    <a:xfrm>
                      <a:off x="0" y="0"/>
                      <a:ext cx="960755" cy="624840"/>
                    </a:xfrm>
                    <a:prstGeom prst="rect"/>
                    <a:ln/>
                  </pic:spPr>
                </pic:pic>
              </a:graphicData>
            </a:graphic>
          </wp:inline>
        </w:drawing>
      </w:r>
      <w:r w:rsidDel="00000000" w:rsidR="00000000" w:rsidRPr="00000000">
        <w:drawing>
          <wp:inline distB="0" distT="0" distL="114300" distR="114300">
            <wp:extent cx="960755" cy="624840"/>
            <wp:effectExtent b="0" l="0" r="0" t="0"/>
            <wp:docPr id="2" name="image04.png"/>
            <a:graphic>
              <a:graphicData uri="http://schemas.openxmlformats.org/drawingml/2006/picture">
                <pic:pic>
                  <pic:nvPicPr>
                    <pic:cNvPr id="0" name="image04.png"/>
                    <pic:cNvPicPr preferRelativeResize="0"/>
                  </pic:nvPicPr>
                  <pic:blipFill>
                    <a:blip r:embed="rId6"/>
                    <a:srcRect b="0" l="0" r="0" t="0"/>
                    <a:stretch>
                      <a:fillRect/>
                    </a:stretch>
                  </pic:blipFill>
                  <pic:spPr>
                    <a:xfrm>
                      <a:off x="0" y="0"/>
                      <a:ext cx="960755" cy="624840"/>
                    </a:xfrm>
                    <a:prstGeom prst="rect"/>
                    <a:ln/>
                  </pic:spPr>
                </pic:pic>
              </a:graphicData>
            </a:graphic>
          </wp:inline>
        </w:drawing>
      </w: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BSS/ars</w:t>
      </w:r>
      <w:r w:rsidDel="00000000" w:rsidR="00000000" w:rsidRPr="00000000">
        <w:rPr>
          <w:rtl w:val="0"/>
        </w:rPr>
      </w:r>
    </w:p>
    <w:tbl>
      <w:tblPr>
        <w:tblStyle w:val="Table7"/>
        <w:bidi w:val="0"/>
        <w:tblW w:w="18186.0" w:type="dxa"/>
        <w:jc w:val="left"/>
        <w:tblInd w:w="-108.0" w:type="dxa"/>
        <w:tblLayout w:type="fixed"/>
        <w:tblLook w:val="0000"/>
      </w:tblPr>
      <w:tblGrid>
        <w:gridCol w:w="4361"/>
        <w:gridCol w:w="4361"/>
        <w:gridCol w:w="4361"/>
        <w:gridCol w:w="5103"/>
        <w:tblGridChange w:id="0">
          <w:tblGrid>
            <w:gridCol w:w="4361"/>
            <w:gridCol w:w="4361"/>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Vicerrectoría de Docencia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Vicerrectoría de Administración </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de Limón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San José</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de Alajuela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Dr. Luis Roberto Pereira, Director Depto. Trabajo Social y Salud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M.Sc. Ana Rosa Ruiz., Coordinadora Oficina Equidad de Género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sectPr>
      <w:headerReference r:id="rId7" w:type="default"/>
      <w:headerReference r:id="rId8" w:type="first"/>
      <w:pgSz w:h="15840" w:w="12240"/>
      <w:pgMar w:bottom="992"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4" name="image06.png"/>
          <a:graphic>
            <a:graphicData uri="http://schemas.openxmlformats.org/drawingml/2006/picture">
              <pic:pic>
                <pic:nvPicPr>
                  <pic:cNvPr id="0" name="image06.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Sesión Ordinaria No. 2972, Artículo 9, del 25 de mayo de 2016</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3" name="image05.png"/>
          <a:graphic>
            <a:graphicData uri="http://schemas.openxmlformats.org/drawingml/2006/picture">
              <pic:pic>
                <pic:nvPicPr>
                  <pic:cNvPr id="0" name="image05.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image" Target="media/image04.png"/><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6.png"/></Relationships>
</file>

<file path=word/_rels/header2.xml.rels><?xml version="1.0" encoding="UTF-8" standalone="yes"?><Relationships xmlns="http://schemas.openxmlformats.org/package/2006/relationships"><Relationship Id="rId1" Type="http://schemas.openxmlformats.org/officeDocument/2006/relationships/image" Target="media/image05.png"/></Relationships>
</file>