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SCI-145-2015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Nery Agüero Montero, Jefa de Comisión Permanente de Asuntos Jurídicos,  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marzo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2909, Artículo 9, del 11 de marzo de 2015.  Pronunciamiento del Consejo Institucional sobre el Proyecto de Ley “Reformas al Código de Trabajo, Ley No. 2 del 27 de agosto de 1943 y sus reformas”, Expediente No. 19.306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CI-295-2015, con fecha de recibido 9 de febrero de 2015, mediante correo electrónico, suscrito por la Licda.  Nery Agüero Montero, Jefa de Comisión Permanente de Asuntos Jurídicos,  Asamblea Legislativa, dirigido al Dr.  Julio Calvo, Rector, en el cual solicita criterio sobre el Proyecto de Ley </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Reformas al Código de Trabajo, Ley No. 2 del 27 de agosto de 1943 y sus reformas”, Expediente No. 19.306.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2905, del 18 de febrero de 2015, y se dispone remitirlo en consulta a la  Escuela de Ciencias Sociales y a la Oficina de Asesoría Legal.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CI-295-2015, del 9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al Instituto Tecnológico de Costa Rica sobre el texto del Proyecto de Ley Proyecto de Ley “Reformas al Código de Trabajo, Ley No. 2 del 27 de agosto de 1943 y sus reformas”, Expediente No. 19.306</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SCI-87-2015, del 19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 la Escuela de Ciencias Sociales y a la Oficina de Asesoría Legal, al Proyecto de Ley “Reformas al Código de Trabajo, Ley No. 2 del 27 de agosto de 1943 y sus reformas”, Expediente No. 19.306</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394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ECS-63-2015, del 6 de marzo 2015</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Pronunciamiento de la Escuela de Ciencias Sociales al Proyecto de Ley “Reformas al Código de Trabajo, Ley No. 2 del 27 de agosto de 1943 y sus reformas”, Expediente No. 19.306. En las recomendaciones proponen: 1- La modificación del inciso a del artículo 375 para que se lea: Para complementar el porcentaje de apoyo mínimo requerido, conforme a las disposiciones de este título, se seguirá el siguiente procedimiento.</w:t>
            </w:r>
            <w:r w:rsidDel="00000000" w:rsidR="00000000" w:rsidRPr="00000000">
              <w:rPr>
                <w:rtl w:val="0"/>
              </w:rPr>
            </w:r>
          </w:p>
          <w:p w:rsidR="00000000" w:rsidDel="00000000" w:rsidP="00000000" w:rsidRDefault="00000000" w:rsidRPr="00000000">
            <w:pPr>
              <w:numPr>
                <w:ilvl w:val="0"/>
                <w:numId w:val="2"/>
              </w:numPr>
              <w:tabs>
                <w:tab w:val="left" w:pos="288"/>
              </w:tabs>
              <w:spacing w:before="0" w:lineRule="auto"/>
              <w:ind w:left="289" w:right="136" w:hanging="289"/>
              <w:contextualSpacing w:val="1"/>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Si en la empresa, institución, establecimiento o centro de trabajo existiera uno o varios sindicatos que, individual o colectivamente, reúnan la afiliación del treinta por ciento (30%) de las personas trabajadoras, este se tendrá por satisfecho si en la asamblea general del sindicato o los sindicatos convocantes, según sea el caso, se acuerda la convocatoria a la huelga conforme a lo dispuesto en el inciso e) del artículo 346.”  2-   Manifestarse a favor del Proyecto del Ley consultado con la introducción del texto propuesto en el  punto anterior.</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4</w:t>
      </w:r>
    </w:p>
    <w:p w:rsidR="00000000" w:rsidDel="00000000" w:rsidP="00000000" w:rsidRDefault="00000000" w:rsidRPr="00000000">
      <w:pPr>
        <w:contextualSpacing w:val="0"/>
        <w:jc w:val="both"/>
      </w:pP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78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Asesoría Legal-093-2015, del 2 de marzo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Pronunciamiento de la Oficina de Asesoría Legal al Proyecto de Ley “Reformas al Código de Trabajo, Ley No. 2 del 27 de agosto de 1943 y sus reformas”, Expediente No. 19.306;  emiten observaciones y recomendaciones al mismo y recomiendan apoyar el proyecto.  </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Apoyar el Proyecto de Ley “Reformas al Código de Trabajo, Ley No. 2 del 27 de agosto de 1943 y sus reformas”, Expediente No. 19.306.</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Comisión de Asuntos Jurídicos, tomar en consideración las recomendaciones emitidas por las instancias consultadas. (Ver Adjuntos)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Pronunciamiento-Reformas al Código de Trabajo, Ley No. 2, Expediente No. 19.306</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Ciencias Sociales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972185" cy="6286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3"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4"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2909, Artículo 9, del 11 de marzo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image" Target="media/image02.png"/><Relationship Id="rId8"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s>
</file>