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SCI-178-2015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William Buckley, Coordinador de la Comisión Especial para revisar el Reglamento de Convivencia y Régimen Disciplinario de los y las estudiantes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25 de marzo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2911, Artículo 7, del 25 de marzo de 2015.  Solicitud de prórroga presentada por la Comisión Especial para que analice y proponga una Reforma Integral al Reglamento de Convivencia y Régimen Disciplinario de los y las Estudiantes del Instituto Tecnológico de Costa Rica, conformada en Sesión Ordinaria No. 2872, Artículo 11, del 11 de junio de 2014</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sz w:val="24"/>
          <w:szCs w:val="24"/>
        </w:rPr>
      </w:pPr>
      <w:r w:rsidDel="00000000" w:rsidR="00000000" w:rsidRPr="00000000">
        <w:rPr>
          <w:rFonts w:ascii="Arial" w:cs="Arial" w:eastAsia="Arial" w:hAnsi="Arial"/>
          <w:vertAlign w:val="baseline"/>
          <w:rtl w:val="0"/>
        </w:rPr>
        <w:t xml:space="preserve">El Artículo 18, inciso f del Estatuto Orgánico del Instituto Tecnológico de Costa Rica, preescribe: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418" w:right="1134"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18 </w:t>
      </w:r>
      <w:r w:rsidDel="00000000" w:rsidR="00000000" w:rsidRPr="00000000">
        <w:rPr>
          <w:rtl w:val="0"/>
        </w:rPr>
      </w:r>
    </w:p>
    <w:p w:rsidR="00000000" w:rsidDel="00000000" w:rsidP="00000000" w:rsidRDefault="00000000" w:rsidRPr="00000000">
      <w:pPr>
        <w:ind w:left="1418" w:right="1134" w:firstLine="0"/>
        <w:contextualSpacing w:val="0"/>
        <w:jc w:val="both"/>
      </w:pPr>
      <w:r w:rsidDel="00000000" w:rsidR="00000000" w:rsidRPr="00000000">
        <w:rPr>
          <w:rtl w:val="0"/>
        </w:rPr>
      </w:r>
    </w:p>
    <w:p w:rsidR="00000000" w:rsidDel="00000000" w:rsidP="00000000" w:rsidRDefault="00000000" w:rsidRPr="00000000">
      <w:pPr>
        <w:ind w:left="1418" w:right="1134"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left="1418" w:right="1134"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1778" w:right="1134" w:hanging="360"/>
        <w:jc w:val="both"/>
        <w:rPr>
          <w:rFonts w:ascii="Arial" w:cs="Arial" w:eastAsia="Arial" w:hAnsi="Arial"/>
          <w:i w:val="0"/>
          <w:sz w:val="22"/>
          <w:szCs w:val="22"/>
        </w:rPr>
      </w:pP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1778" w:right="1134" w:firstLine="0"/>
        <w:contextualSpacing w:val="0"/>
        <w:jc w:val="both"/>
      </w:pPr>
      <w:r w:rsidDel="00000000" w:rsidR="00000000" w:rsidRPr="00000000">
        <w:rPr>
          <w:rtl w:val="0"/>
        </w:rPr>
      </w:r>
    </w:p>
    <w:p w:rsidR="00000000" w:rsidDel="00000000" w:rsidP="00000000" w:rsidRDefault="00000000" w:rsidRPr="00000000">
      <w:pPr>
        <w:ind w:left="1843" w:right="1134" w:hanging="425"/>
        <w:contextualSpacing w:val="0"/>
        <w:jc w:val="both"/>
      </w:pPr>
      <w:r w:rsidDel="00000000" w:rsidR="00000000" w:rsidRPr="00000000">
        <w:rPr>
          <w:rFonts w:ascii="Arial" w:cs="Arial" w:eastAsia="Arial" w:hAnsi="Arial"/>
          <w:b w:val="1"/>
          <w:i w:val="1"/>
          <w:sz w:val="22"/>
          <w:szCs w:val="22"/>
          <w:vertAlign w:val="baseline"/>
          <w:rtl w:val="0"/>
        </w:rPr>
        <w:t xml:space="preserve">f.  </w:t>
      </w:r>
      <w:r w:rsidDel="00000000" w:rsidR="00000000" w:rsidRPr="00000000">
        <w:rPr>
          <w:rFonts w:ascii="Arial" w:cs="Arial" w:eastAsia="Arial" w:hAnsi="Arial"/>
          <w:i w:val="1"/>
          <w:sz w:val="22"/>
          <w:szCs w:val="22"/>
          <w:vertAlign w:val="baseline"/>
          <w:rtl w:val="0"/>
        </w:rPr>
        <w:t xml:space="preserve">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1843" w:right="1134"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4"/>
          <w:szCs w:val="24"/>
        </w:rPr>
      </w:pPr>
      <w:r w:rsidDel="00000000" w:rsidR="00000000" w:rsidRPr="00000000">
        <w:rPr>
          <w:rFonts w:ascii="Arial" w:cs="Arial" w:eastAsia="Arial" w:hAnsi="Arial"/>
          <w:vertAlign w:val="baseline"/>
          <w:rtl w:val="0"/>
        </w:rPr>
        <w:t xml:space="preserve">El Consejo Institucional en la Sesión Ordinaria No. 2872 Artículo 11, del 11 de junio de 2014, tomó el acuerdo denominado: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Modificación de los artículos 3, 5 y 25 del Reglamento de Convivencia y Régimen Disciplinario de los y las Estudiantes del Instituto Tecnológico de Costa Rica, y Conformación de una Comisión Especial que analice y proponga una reforma a este Reglamento”, y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560" w:right="1134" w:hanging="284.00000000000006"/>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1560" w:right="1134" w:hanging="141.9999999999999"/>
        <w:contextualSpacing w:val="0"/>
        <w:jc w:val="both"/>
      </w:pPr>
      <w:r w:rsidDel="00000000" w:rsidR="00000000" w:rsidRPr="00000000">
        <w:rPr>
          <w:rtl w:val="0"/>
        </w:rPr>
      </w:r>
    </w:p>
    <w:p w:rsidR="00000000" w:rsidDel="00000000" w:rsidP="00000000" w:rsidRDefault="00000000" w:rsidRPr="00000000">
      <w:pPr>
        <w:numPr>
          <w:ilvl w:val="0"/>
          <w:numId w:val="4"/>
        </w:numPr>
        <w:ind w:left="1560" w:right="1134" w:hanging="284.0000000000000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Conformar una Comisión Especial para que analice y proponga una Reforma Integral al Reglamento de Convivencia y Régimen Disciplinario de los y las Estudiantes del Instituto Tecnológico de Costa Rica.  Dicha Comisión estará conformada por:</w:t>
      </w:r>
      <w:r w:rsidDel="00000000" w:rsidR="00000000" w:rsidRPr="00000000">
        <w:rPr>
          <w:rtl w:val="0"/>
        </w:rPr>
      </w:r>
    </w:p>
    <w:p w:rsidR="00000000" w:rsidDel="00000000" w:rsidP="00000000" w:rsidRDefault="00000000" w:rsidRPr="00000000">
      <w:pPr>
        <w:ind w:left="1560" w:right="1134" w:firstLine="0"/>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after="0" w:before="0" w:lineRule="auto"/>
        <w:ind w:left="1843" w:right="1134" w:hanging="283.000000000000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Un miembro de la Comisión de Estatuto Orgánico del Consejo Institucional, quien coordinará.</w:t>
      </w:r>
      <w:r w:rsidDel="00000000" w:rsidR="00000000" w:rsidRPr="00000000">
        <w:rPr>
          <w:rtl w:val="0"/>
        </w:rPr>
      </w:r>
    </w:p>
    <w:p w:rsidR="00000000" w:rsidDel="00000000" w:rsidP="00000000" w:rsidRDefault="00000000" w:rsidRPr="00000000">
      <w:pPr>
        <w:widowControl w:val="0"/>
        <w:numPr>
          <w:ilvl w:val="0"/>
          <w:numId w:val="3"/>
        </w:numPr>
        <w:spacing w:after="0" w:before="0" w:lineRule="auto"/>
        <w:ind w:left="1843" w:right="1134" w:hanging="283.000000000000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VIESA.</w:t>
      </w:r>
      <w:r w:rsidDel="00000000" w:rsidR="00000000" w:rsidRPr="00000000">
        <w:rPr>
          <w:rtl w:val="0"/>
        </w:rPr>
      </w:r>
    </w:p>
    <w:p w:rsidR="00000000" w:rsidDel="00000000" w:rsidP="00000000" w:rsidRDefault="00000000" w:rsidRPr="00000000">
      <w:pPr>
        <w:widowControl w:val="0"/>
        <w:numPr>
          <w:ilvl w:val="0"/>
          <w:numId w:val="3"/>
        </w:numPr>
        <w:spacing w:after="0" w:before="0" w:lineRule="auto"/>
        <w:ind w:left="1843" w:right="1134" w:hanging="283.000000000000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del DEVESA.</w:t>
      </w:r>
      <w:r w:rsidDel="00000000" w:rsidR="00000000" w:rsidRPr="00000000">
        <w:rPr>
          <w:rtl w:val="0"/>
        </w:rPr>
      </w:r>
    </w:p>
    <w:p w:rsidR="00000000" w:rsidDel="00000000" w:rsidP="00000000" w:rsidRDefault="00000000" w:rsidRPr="00000000">
      <w:pPr>
        <w:widowControl w:val="0"/>
        <w:numPr>
          <w:ilvl w:val="0"/>
          <w:numId w:val="3"/>
        </w:numPr>
        <w:spacing w:after="0" w:before="0" w:lineRule="auto"/>
        <w:ind w:left="1843" w:right="1134" w:hanging="283.000000000000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estudiantil, designado por la FEITEC.</w:t>
      </w:r>
      <w:r w:rsidDel="00000000" w:rsidR="00000000" w:rsidRPr="00000000">
        <w:rPr>
          <w:rtl w:val="0"/>
        </w:rPr>
      </w:r>
    </w:p>
    <w:p w:rsidR="00000000" w:rsidDel="00000000" w:rsidP="00000000" w:rsidRDefault="00000000" w:rsidRPr="00000000">
      <w:pPr>
        <w:widowControl w:val="0"/>
        <w:numPr>
          <w:ilvl w:val="0"/>
          <w:numId w:val="3"/>
        </w:numPr>
        <w:spacing w:after="0" w:before="0" w:lineRule="auto"/>
        <w:ind w:left="1843" w:right="1134" w:hanging="283.000000000000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widowControl w:val="0"/>
        <w:numPr>
          <w:ilvl w:val="0"/>
          <w:numId w:val="3"/>
        </w:numPr>
        <w:spacing w:after="0" w:before="0" w:lineRule="auto"/>
        <w:ind w:left="1843" w:right="1134" w:hanging="283.0000000000001"/>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Vicerrectoría de Administración. </w:t>
      </w:r>
      <w:r w:rsidDel="00000000" w:rsidR="00000000" w:rsidRPr="00000000">
        <w:rPr>
          <w:rtl w:val="0"/>
        </w:rPr>
      </w:r>
    </w:p>
    <w:p w:rsidR="00000000" w:rsidDel="00000000" w:rsidP="00000000" w:rsidRDefault="00000000" w:rsidRPr="00000000">
      <w:pPr>
        <w:widowControl w:val="0"/>
        <w:spacing w:after="0" w:before="0" w:lineRule="auto"/>
        <w:ind w:left="1560" w:right="1134" w:hanging="141.9999999999999"/>
        <w:contextualSpacing w:val="0"/>
        <w:jc w:val="both"/>
      </w:pPr>
      <w:r w:rsidDel="00000000" w:rsidR="00000000" w:rsidRPr="00000000">
        <w:rPr>
          <w:rtl w:val="0"/>
        </w:rPr>
      </w:r>
    </w:p>
    <w:p w:rsidR="00000000" w:rsidDel="00000000" w:rsidP="00000000" w:rsidRDefault="00000000" w:rsidRPr="00000000">
      <w:pPr>
        <w:numPr>
          <w:ilvl w:val="0"/>
          <w:numId w:val="4"/>
        </w:numPr>
        <w:ind w:left="1560" w:right="1134" w:hanging="284.0000000000000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Comisión Especial presentar la propuesta recomendativa al Consejo Institucional, a más tardar el 31 de octubre del 2014.”</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4"/>
          <w:szCs w:val="24"/>
        </w:rPr>
      </w:pPr>
      <w:r w:rsidDel="00000000" w:rsidR="00000000" w:rsidRPr="00000000">
        <w:rPr>
          <w:rFonts w:ascii="Arial" w:cs="Arial" w:eastAsia="Arial" w:hAnsi="Arial"/>
          <w:vertAlign w:val="baseline"/>
          <w:rtl w:val="0"/>
        </w:rPr>
        <w:t xml:space="preserve">La Secretaría del Consejo Institucional, con fecha de recibido 6 de marzo de 2015, recibió Formulario de Solicitud de Prórroga, suscrito por el Lic. William Buckley, Coordinador de la Comisión Especial para revisar el Reglamento de Convivencia y Régimen Disciplinario de los y las estudiantes, dirigido al Consejo Institucional, en el cual comunica que la Comisión Especial ha venido trabajando sin la participación del representante estudiantil, por lo que, se ha elaborado el Reglamento en su parte preliminar y en adelante se hace absolutamente indispensable que este representante estudiantil se integre en dicha Comisión;  dado que hasta el 23 de febrero de 2015, se realizó dicho nombramiento recayendo en el señor Antony Valverde, quien fue juramentado, se han mantenido conversaciones para ponerlo al tanto de los avances a la fecha, a efecto de que en el momento en que se incorpore formalmente al trabajo tenga conocimiento pleno del alcance del trabajo asignado. De acuerdo al argumento citado, solicita ampliar el plazo al 09 de junio de 2015.</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sz w:val="24"/>
          <w:szCs w:val="24"/>
        </w:rPr>
      </w:pPr>
      <w:r w:rsidDel="00000000" w:rsidR="00000000" w:rsidRPr="00000000">
        <w:rPr>
          <w:rFonts w:ascii="Arial" w:cs="Arial" w:eastAsia="Arial" w:hAnsi="Arial"/>
          <w:vertAlign w:val="baseline"/>
          <w:rtl w:val="0"/>
        </w:rPr>
        <w:t xml:space="preserve">La Comisión de Estatuto Orgánico en reunión realizada el viernes 20 de marzo de 2015, según consta en la Minuta No. 179-2015, conoce la solicitud de prórroga presentada por la Comisión Especial; analiza la justificación y dispone elevar al pleno la Solicitud de Prórroga.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Otorgar la prórroga al 9 de junio del 2015, solicitada por la Comisión Especial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para que analice y proponga una Reforma Integral al Reglamento de Convivencia y Régimen Disciplinario de los y las Estudiantes del Instituto Tecnológico de Costa Rica, en cumplimiento del acuerdo del Consejo Institucional, Sesión Ordinaria No. 2872 Artículo 11, del 11 de junio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Prórroga – Comisión Especial – Reglamento Convivencia – Estudiantes</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2911, Artículo 7, del 25 de marzo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bullet"/>
      <w:lvlText w:val="-"/>
      <w:lvlJc w:val="left"/>
      <w:pPr>
        <w:ind w:left="786" w:firstLine="425.99999999999994"/>
      </w:pPr>
      <w:rPr>
        <w:rFonts w:ascii="Arial" w:cs="Arial" w:eastAsia="Arial" w:hAnsi="Arial"/>
        <w:vertAlign w:val="baseline"/>
      </w:rPr>
    </w:lvl>
    <w:lvl w:ilvl="1">
      <w:start w:val="1"/>
      <w:numFmt w:val="bullet"/>
      <w:lvlText w:val="o"/>
      <w:lvlJc w:val="left"/>
      <w:pPr>
        <w:ind w:left="1506" w:firstLine="1146"/>
      </w:pPr>
      <w:rPr>
        <w:rFonts w:ascii="Arial" w:cs="Arial" w:eastAsia="Arial" w:hAnsi="Arial"/>
        <w:vertAlign w:val="baseline"/>
      </w:rPr>
    </w:lvl>
    <w:lvl w:ilvl="2">
      <w:start w:val="1"/>
      <w:numFmt w:val="bullet"/>
      <w:lvlText w:val="▪"/>
      <w:lvlJc w:val="left"/>
      <w:pPr>
        <w:ind w:left="2226" w:firstLine="1866"/>
      </w:pPr>
      <w:rPr>
        <w:rFonts w:ascii="Arial" w:cs="Arial" w:eastAsia="Arial" w:hAnsi="Arial"/>
        <w:vertAlign w:val="baseline"/>
      </w:rPr>
    </w:lvl>
    <w:lvl w:ilvl="3">
      <w:start w:val="1"/>
      <w:numFmt w:val="bullet"/>
      <w:lvlText w:val="●"/>
      <w:lvlJc w:val="left"/>
      <w:pPr>
        <w:ind w:left="2946" w:firstLine="2586"/>
      </w:pPr>
      <w:rPr>
        <w:rFonts w:ascii="Arial" w:cs="Arial" w:eastAsia="Arial" w:hAnsi="Arial"/>
        <w:vertAlign w:val="baseline"/>
      </w:rPr>
    </w:lvl>
    <w:lvl w:ilvl="4">
      <w:start w:val="1"/>
      <w:numFmt w:val="bullet"/>
      <w:lvlText w:val="o"/>
      <w:lvlJc w:val="left"/>
      <w:pPr>
        <w:ind w:left="3666" w:firstLine="3306"/>
      </w:pPr>
      <w:rPr>
        <w:rFonts w:ascii="Arial" w:cs="Arial" w:eastAsia="Arial" w:hAnsi="Arial"/>
        <w:vertAlign w:val="baseline"/>
      </w:rPr>
    </w:lvl>
    <w:lvl w:ilvl="5">
      <w:start w:val="1"/>
      <w:numFmt w:val="bullet"/>
      <w:lvlText w:val="▪"/>
      <w:lvlJc w:val="left"/>
      <w:pPr>
        <w:ind w:left="4386" w:firstLine="4026"/>
      </w:pPr>
      <w:rPr>
        <w:rFonts w:ascii="Arial" w:cs="Arial" w:eastAsia="Arial" w:hAnsi="Arial"/>
        <w:vertAlign w:val="baseline"/>
      </w:rPr>
    </w:lvl>
    <w:lvl w:ilvl="6">
      <w:start w:val="1"/>
      <w:numFmt w:val="bullet"/>
      <w:lvlText w:val="●"/>
      <w:lvlJc w:val="left"/>
      <w:pPr>
        <w:ind w:left="5106" w:firstLine="4746"/>
      </w:pPr>
      <w:rPr>
        <w:rFonts w:ascii="Arial" w:cs="Arial" w:eastAsia="Arial" w:hAnsi="Arial"/>
        <w:vertAlign w:val="baseline"/>
      </w:rPr>
    </w:lvl>
    <w:lvl w:ilvl="7">
      <w:start w:val="1"/>
      <w:numFmt w:val="bullet"/>
      <w:lvlText w:val="o"/>
      <w:lvlJc w:val="left"/>
      <w:pPr>
        <w:ind w:left="5826" w:firstLine="5466"/>
      </w:pPr>
      <w:rPr>
        <w:rFonts w:ascii="Arial" w:cs="Arial" w:eastAsia="Arial" w:hAnsi="Arial"/>
        <w:vertAlign w:val="baseline"/>
      </w:rPr>
    </w:lvl>
    <w:lvl w:ilvl="8">
      <w:start w:val="1"/>
      <w:numFmt w:val="bullet"/>
      <w:lvlText w:val="▪"/>
      <w:lvlJc w:val="left"/>
      <w:pPr>
        <w:ind w:left="6546" w:firstLine="6186"/>
      </w:pPr>
      <w:rPr>
        <w:rFonts w:ascii="Arial" w:cs="Arial" w:eastAsia="Arial" w:hAnsi="Arial"/>
        <w:vertAlign w:val="baseline"/>
      </w:rPr>
    </w:lvl>
  </w:abstractNum>
  <w:abstractNum w:abstractNumId="4">
    <w:lvl w:ilvl="0">
      <w:start w:val="1"/>
      <w:numFmt w:val="lowerLetter"/>
      <w:lvlText w:val="%1."/>
      <w:lvlJc w:val="left"/>
      <w:pPr>
        <w:ind w:left="1778" w:firstLine="1418"/>
      </w:pPr>
      <w:rPr>
        <w:b w:val="1"/>
        <w:vertAlign w:val="baseline"/>
      </w:rPr>
    </w:lvl>
    <w:lvl w:ilvl="1">
      <w:start w:val="1"/>
      <w:numFmt w:val="lowerLetter"/>
      <w:lvlText w:val="%2."/>
      <w:lvlJc w:val="left"/>
      <w:pPr>
        <w:ind w:left="2498" w:firstLine="2138"/>
      </w:pPr>
      <w:rPr>
        <w:vertAlign w:val="baseline"/>
      </w:rPr>
    </w:lvl>
    <w:lvl w:ilvl="2">
      <w:start w:val="1"/>
      <w:numFmt w:val="lowerRoman"/>
      <w:lvlText w:val="%3."/>
      <w:lvlJc w:val="right"/>
      <w:pPr>
        <w:ind w:left="3218" w:firstLine="3038"/>
      </w:pPr>
      <w:rPr>
        <w:vertAlign w:val="baseline"/>
      </w:rPr>
    </w:lvl>
    <w:lvl w:ilvl="3">
      <w:start w:val="1"/>
      <w:numFmt w:val="decimal"/>
      <w:lvlText w:val="%4."/>
      <w:lvlJc w:val="left"/>
      <w:pPr>
        <w:ind w:left="3938" w:firstLine="3578"/>
      </w:pPr>
      <w:rPr>
        <w:vertAlign w:val="baseline"/>
      </w:rPr>
    </w:lvl>
    <w:lvl w:ilvl="4">
      <w:start w:val="1"/>
      <w:numFmt w:val="lowerLetter"/>
      <w:lvlText w:val="%5."/>
      <w:lvlJc w:val="left"/>
      <w:pPr>
        <w:ind w:left="4658" w:firstLine="4298"/>
      </w:pPr>
      <w:rPr>
        <w:vertAlign w:val="baseline"/>
      </w:rPr>
    </w:lvl>
    <w:lvl w:ilvl="5">
      <w:start w:val="1"/>
      <w:numFmt w:val="lowerRoman"/>
      <w:lvlText w:val="%6."/>
      <w:lvlJc w:val="right"/>
      <w:pPr>
        <w:ind w:left="5378" w:firstLine="5198"/>
      </w:pPr>
      <w:rPr>
        <w:vertAlign w:val="baseline"/>
      </w:rPr>
    </w:lvl>
    <w:lvl w:ilvl="6">
      <w:start w:val="1"/>
      <w:numFmt w:val="decimal"/>
      <w:lvlText w:val="%7."/>
      <w:lvlJc w:val="left"/>
      <w:pPr>
        <w:ind w:left="6098" w:firstLine="5738"/>
      </w:pPr>
      <w:rPr>
        <w:vertAlign w:val="baseline"/>
      </w:rPr>
    </w:lvl>
    <w:lvl w:ilvl="7">
      <w:start w:val="1"/>
      <w:numFmt w:val="lowerLetter"/>
      <w:lvlText w:val="%8."/>
      <w:lvlJc w:val="left"/>
      <w:pPr>
        <w:ind w:left="6818" w:firstLine="6458"/>
      </w:pPr>
      <w:rPr>
        <w:vertAlign w:val="baseline"/>
      </w:rPr>
    </w:lvl>
    <w:lvl w:ilvl="8">
      <w:start w:val="1"/>
      <w:numFmt w:val="lowerRoman"/>
      <w:lvlText w:val="%9."/>
      <w:lvlJc w:val="right"/>
      <w:pPr>
        <w:ind w:left="7538" w:firstLine="7358"/>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