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SCI-212-2015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Andrea Muñoz Argüello,  Asesora, Comisión Permanente Especial de Derechos Humanos,  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abril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2913, Artículo 12, del 16 de abril de 2015.  Pronunciamiento del Consejo Institucional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correo electrónico, oficio con fecha de recibido 27 de marzo de 2015,  suscrito por la Licda.  Andrea Muñoz Argüello,  Asesora, Comisión Permanente Especial de Derechos Humanos,  Asamblea Legislativa, dirigido al Dr.  Julio Calvo, Rector, en el cual solicita criterio sobre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En la misma señala que la señora Diputada Mauren Clarke considera relevante contar con el criterio del Tecnológico y que el proyecto ingresará al orden del día de la Comisión, el 8 de abril del presente año, por lo que es importante contar con el criterio antes de esta fecha.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Ante la solicitud expresa de la Diputada Clarke y en vista de la premura del caso el señor Rector, Dr. Julio Cesar Calvo, solicita remitirla en consulta al Lic. William Buckley Buckley, Representante Docente ante el Consejo Institucional, con ruego de que se sirva revisar el citado Proyecto lo antes posible para atender la solicitud de la diputada Clarke.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tbl>
      <w:tblPr>
        <w:tblStyle w:val="Table2"/>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6232"/>
        <w:tblGridChange w:id="0">
          <w:tblGrid>
            <w:gridCol w:w="2079"/>
            <w:gridCol w:w="6232"/>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Correo Electrónico, del 27 de marzo de 2015, del Dr. Julio Cesar Calvo, sin oficio</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Instituto Tecnológico de Costa Rica sobre el texto del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tbl>
      <w:tblPr>
        <w:tblStyle w:val="Table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6222"/>
        <w:tblGridChange w:id="0">
          <w:tblGrid>
            <w:gridCol w:w="2089"/>
            <w:gridCol w:w="6222"/>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SCI-185-2015, del 8/3/2015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Criterio del Lic. William Buckley B., al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en el que emite observaciones y recomendaciones entre otras, señala que como Institución de Educación Universitaria Estatal, es imperioso que se acompañe de forma decidida, todo esfuerzo que se haga por rescatar y resaltar los valores y principios de nuestra nacionalidad, elementos que están patentes en la Reforma consultada, por lo que se recomienda que el Consejo Institucional acuerde apoyar la iniciativa legislativa sometida a consideración.</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P</w:t>
      </w:r>
      <w:r w:rsidDel="00000000" w:rsidR="00000000" w:rsidRPr="00000000">
        <w:rPr>
          <w:rFonts w:ascii="Arial" w:cs="Arial" w:eastAsia="Arial" w:hAnsi="Arial"/>
          <w:b w:val="1"/>
          <w:sz w:val="16"/>
          <w:szCs w:val="16"/>
          <w:vertAlign w:val="baseline"/>
          <w:rtl w:val="0"/>
        </w:rPr>
        <w:t xml:space="preserve">royecto–Reformas-artículos-.carácter-multicultural-pluriétnico-CR Expediente No. 19.279</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972185" cy="6286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3"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8" w:type="default"/>
      <w:headerReference r:id="rId9"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2913, Artículo 12, del 16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4"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image" Target="media/image0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