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SCI-213-2015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Isidro Álvarez Salazar, Auditor Interno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17 de abril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2913, Artículo 13, del 16 de abril de 2015.  Autorización a la Auditoría Interna para publicar en la Página Web institucional el Informe de Labores del período 2014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Ordinaria No. 2864 Artículo 8, del 9 de abril de 2014, acordó: “Autorización a la Auditoría Interna para que publique información en la página Web con las reservas pertinentes.</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AUDI-050-2015, con fecha de recibido 19 de marzo de 2015, suscrito por el Lic. Isidro Álvarez Salazar, dirigido al Dr. Julio Calvo Alvarado, Presidente del Consejo Institucional,  en el cual informa que mediante el oficio AUDI-032-2015, del 27 de febrero de 2015, se remitió a ese órgano colegiado el Informe de Labores 2014, en atención a lo que dispone la norma 2.6 de las Normas para el ejercicio de la Auditoría Interna en el Sector Público, por lo que solicita la autorización correspondiente para remitir dicho Informe a la Rectoría y a las correspondientes Vicerrectorías por considerarlo de su interés, así como para publicarlo en la Página Web, en concordancia con lo dispuesto en el acuerdo del Consejo Institucional, Sesión Ordinaria No. 2864, Artículo 8, del 9 de abril de 2014</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(Ver Anexo 1)</w:t>
      </w:r>
      <w:r w:rsidDel="00000000" w:rsidR="00000000" w:rsidRPr="00000000">
        <w:rPr>
          <w:rtl w:val="0"/>
        </w:rPr>
      </w:r>
    </w:p>
    <w:p w:rsidR="00000000" w:rsidDel="00000000" w:rsidP="00000000" w:rsidRDefault="00000000" w:rsidRPr="00000000">
      <w:pPr>
        <w:ind w:left="426" w:hanging="426"/>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616-2015, del 26 de marzo de 2015, mediante traslado de correspondencia de la Sesión Ordinaria No 2811, celebrada el 25 de marzo de 2015, conoce la nota supra citada y dispone elevar propuesta al pleno.</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Autorizar a la Auditoría Interna gestionar la publicación de su Informe de Labores del año 2014, en la Página Web de la Institución, con las siguientes excepciones:</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ind w:left="993" w:right="-91" w:hanging="567"/>
        <w:contextualSpacing w:val="0"/>
        <w:jc w:val="both"/>
      </w:pPr>
      <w:r w:rsidDel="00000000" w:rsidR="00000000" w:rsidRPr="00000000">
        <w:rPr>
          <w:rFonts w:ascii="Arial" w:cs="Arial" w:eastAsia="Arial" w:hAnsi="Arial"/>
          <w:b w:val="1"/>
          <w:sz w:val="22"/>
          <w:szCs w:val="22"/>
          <w:vertAlign w:val="baseline"/>
          <w:rtl w:val="0"/>
        </w:rPr>
        <w:t xml:space="preserve">a.1</w:t>
      </w:r>
      <w:r w:rsidDel="00000000" w:rsidR="00000000" w:rsidRPr="00000000">
        <w:rPr>
          <w:rFonts w:ascii="Arial" w:cs="Arial" w:eastAsia="Arial" w:hAnsi="Arial"/>
          <w:sz w:val="22"/>
          <w:szCs w:val="22"/>
          <w:vertAlign w:val="baseline"/>
          <w:rtl w:val="0"/>
        </w:rPr>
        <w:t xml:space="preserve"> </w:t>
        <w:tab/>
        <w:t xml:space="preserve">Aquellos casos que por alguna razón, estén siendo tramitados con carácter confidencial, hasta el momento en que hayan superado el período de confidencialidad. </w:t>
      </w:r>
      <w:r w:rsidDel="00000000" w:rsidR="00000000" w:rsidRPr="00000000">
        <w:rPr>
          <w:rtl w:val="0"/>
        </w:rPr>
      </w:r>
    </w:p>
    <w:p w:rsidR="00000000" w:rsidDel="00000000" w:rsidP="00000000" w:rsidRDefault="00000000" w:rsidRPr="00000000">
      <w:pPr>
        <w:spacing w:after="0" w:before="0" w:line="240" w:lineRule="auto"/>
        <w:ind w:left="993" w:right="-91" w:hanging="567"/>
        <w:contextualSpacing w:val="0"/>
        <w:jc w:val="both"/>
      </w:pPr>
      <w:r w:rsidDel="00000000" w:rsidR="00000000" w:rsidRPr="00000000">
        <w:rPr>
          <w:rtl w:val="0"/>
        </w:rPr>
      </w:r>
    </w:p>
    <w:p w:rsidR="00000000" w:rsidDel="00000000" w:rsidP="00000000" w:rsidRDefault="00000000" w:rsidRPr="00000000">
      <w:pPr>
        <w:ind w:left="993" w:right="-91" w:hanging="567"/>
        <w:contextualSpacing w:val="0"/>
        <w:jc w:val="both"/>
      </w:pPr>
      <w:r w:rsidDel="00000000" w:rsidR="00000000" w:rsidRPr="00000000">
        <w:rPr>
          <w:rFonts w:ascii="Arial" w:cs="Arial" w:eastAsia="Arial" w:hAnsi="Arial"/>
          <w:b w:val="1"/>
          <w:sz w:val="22"/>
          <w:szCs w:val="22"/>
          <w:vertAlign w:val="baseline"/>
          <w:rtl w:val="0"/>
        </w:rPr>
        <w:t xml:space="preserve">a.2</w:t>
      </w:r>
      <w:r w:rsidDel="00000000" w:rsidR="00000000" w:rsidRPr="00000000">
        <w:rPr>
          <w:rFonts w:ascii="Arial" w:cs="Arial" w:eastAsia="Arial" w:hAnsi="Arial"/>
          <w:sz w:val="22"/>
          <w:szCs w:val="22"/>
          <w:vertAlign w:val="baseline"/>
          <w:rtl w:val="0"/>
        </w:rPr>
        <w:t xml:space="preserve"> </w:t>
        <w:tab/>
        <w:t xml:space="preserve">Aquellos informes que deriven en una investigación preliminar sobre algún funcionario de la Institución, hasta tanto no haya terminado la investigación completa de los hechos que indique el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Autorización-Publicación Página Web-Informe de Labores-2014-Auditoria</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drawing>
          <wp:inline distB="0" distT="0" distL="114300" distR="114300">
            <wp:extent cx="972185" cy="62865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972185" cy="628650"/>
                    </a:xfrm>
                    <a:prstGeom prst="rect"/>
                    <a:ln/>
                  </pic:spPr>
                </pic:pic>
              </a:graphicData>
            </a:graphic>
          </wp:inline>
        </w:drawing>
      </w:r>
      <w:r w:rsidDel="00000000" w:rsidR="00000000" w:rsidRPr="00000000">
        <w:rPr>
          <w:rtl w:val="0"/>
        </w:rPr>
      </w:r>
    </w:p>
    <w:sectPr>
      <w:headerReference r:id="rId7" w:type="default"/>
      <w:headerReference r:id="rId8"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4"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2913, Artículo 13, del 16 de abril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

<file path=word/_rels/header2.xml.rels><?xml version="1.0" encoding="UTF-8" standalone="yes"?><Relationships xmlns="http://schemas.openxmlformats.org/package/2006/relationships"><Relationship Id="rId1" Type="http://schemas.openxmlformats.org/officeDocument/2006/relationships/image" Target="media/image04.png"/></Relationships>
</file>