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SCI-232-2015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Licda. Silma Eliza Bolaños, Jefa de Área de Comisión Permanente Ordinaria de Asuntos Económicos de la Asamblea Legislativa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23 de abril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left="34" w:right="-91"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2914, Artículo 11, del 22 de abril de 2015.  Pronunciamiento del Consejo Institucional sobre el Proyecto de “Ley para la Educación Dual”,  Expediente No. 19.378</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240" w:line="240" w:lineRule="auto"/>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tabs>
          <w:tab w:val="left" w:pos="948"/>
        </w:tabs>
        <w:ind w:left="1320" w:hanging="1320"/>
        <w:contextualSpacing w:val="0"/>
        <w:jc w:val="both"/>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Secretaría del Consejo Institucional recibe mediante correo electrónico, oficio ECO-1132-2014, con fecha de recibido 15 de diciembre de 2014,  suscrito por la Licda. Silma Eliza Bolaños Cerdas, Jefa de Área de la Comisión Permanente Ordinaria de Asuntos Económicos de la Asamblea Legislativa, dirigido al Dr. Julio Calvo Alvarado, en el cual se solicita criterio sobre el Proyecto “Ley para la Educación Dual”,  Expediente No. 19.378.</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Proyecto precitado fue conocido por el Consejo Institucional en la Sesión No. 2900, del 21 de enero de 2015, y se dispone remitirlo en consulta al Consejo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0"/>
          <w:szCs w:val="20"/>
          <w:vertAlign w:val="baseline"/>
          <w:rtl w:val="0"/>
        </w:rPr>
        <w:t xml:space="preserve">Anexo 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2"/>
        <w:bidi w:val="0"/>
        <w:tblW w:w="913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059"/>
        <w:tblGridChange w:id="0">
          <w:tblGrid>
            <w:gridCol w:w="2079"/>
            <w:gridCol w:w="7059"/>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ECO-1132-2014 Correo Electrónico, del 15 de diciembre de 2014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Solicitud de criterio al Instituto Tecnológico de Costa Rica sobre el texto del Proyecto de Ley “Pronunciamiento del Consejo Institucional sobre el Proyecto “Ley para la Educación Dual”. Expediente No. 19.378.</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0"/>
          <w:szCs w:val="20"/>
          <w:vertAlign w:val="baseline"/>
          <w:rtl w:val="0"/>
        </w:rPr>
        <w:t xml:space="preserve">Anexo 2</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3"/>
        <w:bidi w:val="0"/>
        <w:tblW w:w="913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7049"/>
        <w:tblGridChange w:id="0">
          <w:tblGrid>
            <w:gridCol w:w="2089"/>
            <w:gridCol w:w="7049"/>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SCI-10-2015, del 21/1/2015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Solicitud de criterio al Consejo de Docencia sobre Proyecto “Ley para la Educación Dual”. Expediente No. 19.378.</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0"/>
          <w:szCs w:val="20"/>
          <w:vertAlign w:val="baseline"/>
          <w:rtl w:val="0"/>
        </w:rPr>
        <w:t xml:space="preserve">Anexo 3</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4"/>
        <w:bidi w:val="0"/>
        <w:tblW w:w="913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7049"/>
        <w:tblGridChange w:id="0">
          <w:tblGrid>
            <w:gridCol w:w="2089"/>
            <w:gridCol w:w="7049"/>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SCI-171-2015, del 23/3/2015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Recordatorio solicitud de criterio al Consejo de Docencia sobre Proyecto “Ley para la Educación Dual”. Expediente No. 19.378.</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0"/>
          <w:szCs w:val="20"/>
          <w:vertAlign w:val="baseline"/>
          <w:rtl w:val="0"/>
        </w:rPr>
        <w:t xml:space="preserve">Anexo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913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5"/>
        <w:gridCol w:w="7243"/>
        <w:tblGridChange w:id="0">
          <w:tblGrid>
            <w:gridCol w:w="1895"/>
            <w:gridCol w:w="7243"/>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rPr>
          <w:trHeight w:val="7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ViDa-197-2015, del 08 de abril de 2015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Pronunciamiento de la Vicerrectoría de Docencia, sobre el Proyecto sobre Proyecto “Ley para la Educación Dual”. Expediente No. 19.378; se emiten observaciones generales y específicas al mismo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0"/>
                <w:szCs w:val="20"/>
                <w:vertAlign w:val="baseline"/>
                <w:rtl w:val="0"/>
              </w:rPr>
              <w:t xml:space="preserve">y apoyan el proyecto de ley, incorporando los elementos indicados.</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Apoyar el Proyecto de “Ley para la Educación Dual”. Expediente No. 19.378, siempre y cuando se incorporen las recomendaciones emitidas por el ente técnico de esta Institución.</w:t>
      </w:r>
      <w:r w:rsidDel="00000000" w:rsidR="00000000" w:rsidRPr="00000000">
        <w:rPr>
          <w:rtl w:val="0"/>
        </w:rPr>
      </w:r>
    </w:p>
    <w:p w:rsidR="00000000" w:rsidDel="00000000" w:rsidP="00000000" w:rsidRDefault="00000000" w:rsidRPr="00000000">
      <w:pPr>
        <w:ind w:right="-91"/>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PALABRAS CLAVE: Proyecto–Ley Educación-.Dual- Expediente No. 19.378</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Vicerrectoría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      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      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2914, Artículo 10, del 22 de abril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