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SCI-230-2015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MAE. William Vives, Vicerrector de Administración </w:t>
            </w:r>
            <w:r w:rsidDel="00000000" w:rsidR="00000000" w:rsidRPr="00000000">
              <w:rPr>
                <w:rtl w:val="0"/>
              </w:rPr>
            </w:r>
          </w:p>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Investigación y Extensión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Máster Jaime Gutiérrez Alfaro, Coordinador de la 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MAU. Tatiana Fernández, Directora Oficina de Planificación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abril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left="34" w:right="-91"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2914, Artículo 8, del 22 de abril de 2015.  Modificación Presupuestaria No.  01-2015</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24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2849, Artículo 8, del 28 de noviembre de 2013, aprobó la Reforma Integral Reglamento para la aplicación de Modificaciones Presupuestarias en el ITCR.</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R-308-2015, con fecha de recibido 15 de abril de 2015, suscrito por el Dr.  Julio C.  Calvo Alvarado, Rector, dirigido al Ing.  Alexander Valerín, Coordinador de la Comisión de Planificación y Administración, en el cual remite la Modificación Presupuestaria No.  01-2015.  (Ver Anexo 1)</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1"/>
          <w:numId w:val="1"/>
        </w:numPr>
        <w:ind w:left="1276" w:right="-91"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Dentro del informe de la modificación se adjunta el pronunciamiento de la Oficina de Planificación Institucional, según oficio OPI-213-2015, en el cual indica que esta modificación no afecta al Plan Anual Operativo del 2015.</w:t>
      </w:r>
      <w:r w:rsidDel="00000000" w:rsidR="00000000" w:rsidRPr="00000000">
        <w:rPr>
          <w:rtl w:val="0"/>
        </w:rPr>
      </w:r>
    </w:p>
    <w:p w:rsidR="00000000" w:rsidDel="00000000" w:rsidP="00000000" w:rsidRDefault="00000000" w:rsidRPr="00000000">
      <w:pPr>
        <w:numPr>
          <w:ilvl w:val="1"/>
          <w:numId w:val="1"/>
        </w:numPr>
        <w:ind w:left="1276" w:right="-91" w:hanging="709"/>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recibe oficio OPI-173-2015, con fecha de recibido 20 de abril de 2015, suscrito por la MAU. Tatiana Fernández Martín, Directora de la Oficina de Planificación Institucional, dirigido al Ing. Alexander Valerín Castro, Coordinador Comisión de Planificación y Administración, en el cual remite Fe de Erratas al Pronunciamiento Modificaciones Presupuestarias numeradas de la No. 1 a la No. 213; indica que se lea correctamente el oficio “OPI-173-2015” y no “OPI-213-2015”.</w:t>
      </w:r>
      <w:r w:rsidDel="00000000" w:rsidR="00000000" w:rsidRPr="00000000">
        <w:rPr>
          <w:rtl w:val="0"/>
        </w:rPr>
      </w:r>
    </w:p>
    <w:p w:rsidR="00000000" w:rsidDel="00000000" w:rsidP="00000000" w:rsidRDefault="00000000" w:rsidRPr="00000000">
      <w:pPr>
        <w:ind w:left="360" w:right="-91" w:firstLine="0"/>
        <w:contextualSpacing w:val="0"/>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618-2015, celebrada el 16 de abril de 2015, analizó el tema y dispuso invitar a los involucrados a la sesión por realizarse el 22 de abril para que expongan la información contenida en el Informe; y elevar la siguiente propuesta al pleno para su aprobación.</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right="-91" w:firstLine="0"/>
        <w:contextualSpacing w:val="0"/>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conocida la Modificación Presupuestaria No. 01-2015 al Presupuesto Ordinario 2015, con los documentos numerados del No. 3 al No. 213 (exceptuando el 39 y 192 ya que fueron anulados); por un monto de ¢3, 542,695.34 miles, entre las diferentes partidas presupuestarias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PALABRAS CLAVE: Modificación-Presupuestaria-01-2015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Oficina Asesoría Legal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2914, Artículo 8, del 22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360" w:firstLine="0"/>
      </w:pPr>
      <w:rPr>
        <w:vertAlign w:val="baseline"/>
      </w:rPr>
    </w:lvl>
    <w:lvl w:ilvl="1">
      <w:start w:val="1"/>
      <w:numFmt w:val="decimal"/>
      <w:lvlText w:val="%1.%2"/>
      <w:lvlJc w:val="left"/>
      <w:pPr>
        <w:ind w:left="1440" w:firstLine="1080"/>
      </w:pPr>
      <w:rPr>
        <w:b w:val="1"/>
        <w:vertAlign w:val="baseline"/>
      </w:rPr>
    </w:lvl>
    <w:lvl w:ilvl="2">
      <w:start w:val="1"/>
      <w:numFmt w:val="decimal"/>
      <w:lvlText w:val="%1.%2.%3"/>
      <w:lvlJc w:val="left"/>
      <w:pPr>
        <w:ind w:left="2880" w:firstLine="2160"/>
      </w:pPr>
      <w:rPr>
        <w:vertAlign w:val="baseline"/>
      </w:rPr>
    </w:lvl>
    <w:lvl w:ilvl="3">
      <w:start w:val="1"/>
      <w:numFmt w:val="decimal"/>
      <w:lvlText w:val="%1.%2.%3.%4"/>
      <w:lvlJc w:val="left"/>
      <w:pPr>
        <w:ind w:left="4320" w:firstLine="3240"/>
      </w:pPr>
      <w:rPr>
        <w:vertAlign w:val="baseline"/>
      </w:rPr>
    </w:lvl>
    <w:lvl w:ilvl="4">
      <w:start w:val="1"/>
      <w:numFmt w:val="decimal"/>
      <w:lvlText w:val="%1.%2.%3.%4.%5"/>
      <w:lvlJc w:val="left"/>
      <w:pPr>
        <w:ind w:left="5400" w:firstLine="4320"/>
      </w:pPr>
      <w:rPr>
        <w:vertAlign w:val="baseline"/>
      </w:rPr>
    </w:lvl>
    <w:lvl w:ilvl="5">
      <w:start w:val="1"/>
      <w:numFmt w:val="decimal"/>
      <w:lvlText w:val="%1.%2.%3.%4.%5.%6"/>
      <w:lvlJc w:val="left"/>
      <w:pPr>
        <w:ind w:left="6840" w:firstLine="5400"/>
      </w:pPr>
      <w:rPr>
        <w:vertAlign w:val="baseline"/>
      </w:rPr>
    </w:lvl>
    <w:lvl w:ilvl="6">
      <w:start w:val="1"/>
      <w:numFmt w:val="decimal"/>
      <w:lvlText w:val="%1.%2.%3.%4.%5.%6.%7"/>
      <w:lvlJc w:val="left"/>
      <w:pPr>
        <w:ind w:left="7920" w:firstLine="6480"/>
      </w:pPr>
      <w:rPr>
        <w:vertAlign w:val="baseline"/>
      </w:rPr>
    </w:lvl>
    <w:lvl w:ilvl="7">
      <w:start w:val="1"/>
      <w:numFmt w:val="decimal"/>
      <w:lvlText w:val="%1.%2.%3.%4.%5.%6.%7.%8"/>
      <w:lvlJc w:val="left"/>
      <w:pPr>
        <w:ind w:left="9360" w:firstLine="7560"/>
      </w:pPr>
      <w:rPr>
        <w:vertAlign w:val="baseline"/>
      </w:rPr>
    </w:lvl>
    <w:lvl w:ilvl="8">
      <w:start w:val="1"/>
      <w:numFmt w:val="decimal"/>
      <w:lvlText w:val="%1.%2.%3.%4.%5.%6.%7.%8.%9"/>
      <w:lvlJc w:val="left"/>
      <w:pPr>
        <w:ind w:left="10440" w:firstLine="8640"/>
      </w:pPr>
      <w:rPr>
        <w:vertAlign w:val="baseline"/>
      </w:rPr>
    </w:lvl>
  </w:abstractNum>
  <w:abstractNum w:abstractNumId="2">
    <w:lvl w:ilvl="0">
      <w:start w:val="1"/>
      <w:numFmt w:val="decimal"/>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763" w:firstLine="3403"/>
      </w:pPr>
      <w:rPr>
        <w:b w:val="1"/>
        <w:vertAlign w:val="baseline"/>
      </w:rPr>
    </w:lvl>
    <w:lvl w:ilvl="1">
      <w:start w:val="1"/>
      <w:numFmt w:val="lowerLetter"/>
      <w:lvlText w:val="%2."/>
      <w:lvlJc w:val="left"/>
      <w:pPr>
        <w:ind w:left="4483" w:firstLine="4123"/>
      </w:pPr>
      <w:rPr>
        <w:vertAlign w:val="baseline"/>
      </w:rPr>
    </w:lvl>
    <w:lvl w:ilvl="2">
      <w:start w:val="1"/>
      <w:numFmt w:val="lowerRoman"/>
      <w:lvlText w:val="%3."/>
      <w:lvlJc w:val="right"/>
      <w:pPr>
        <w:ind w:left="5203" w:firstLine="5023"/>
      </w:pPr>
      <w:rPr>
        <w:vertAlign w:val="baseline"/>
      </w:rPr>
    </w:lvl>
    <w:lvl w:ilvl="3">
      <w:start w:val="1"/>
      <w:numFmt w:val="decimal"/>
      <w:lvlText w:val="%4."/>
      <w:lvlJc w:val="left"/>
      <w:pPr>
        <w:ind w:left="5923" w:firstLine="5563"/>
      </w:pPr>
      <w:rPr>
        <w:vertAlign w:val="baseline"/>
      </w:rPr>
    </w:lvl>
    <w:lvl w:ilvl="4">
      <w:start w:val="1"/>
      <w:numFmt w:val="lowerLetter"/>
      <w:lvlText w:val="%5."/>
      <w:lvlJc w:val="left"/>
      <w:pPr>
        <w:ind w:left="6643" w:firstLine="6283"/>
      </w:pPr>
      <w:rPr>
        <w:vertAlign w:val="baseline"/>
      </w:rPr>
    </w:lvl>
    <w:lvl w:ilvl="5">
      <w:start w:val="1"/>
      <w:numFmt w:val="lowerRoman"/>
      <w:lvlText w:val="%6."/>
      <w:lvlJc w:val="right"/>
      <w:pPr>
        <w:ind w:left="7363" w:firstLine="7183"/>
      </w:pPr>
      <w:rPr>
        <w:vertAlign w:val="baseline"/>
      </w:rPr>
    </w:lvl>
    <w:lvl w:ilvl="6">
      <w:start w:val="1"/>
      <w:numFmt w:val="decimal"/>
      <w:lvlText w:val="%7."/>
      <w:lvlJc w:val="left"/>
      <w:pPr>
        <w:ind w:left="8083" w:firstLine="7723"/>
      </w:pPr>
      <w:rPr>
        <w:vertAlign w:val="baseline"/>
      </w:rPr>
    </w:lvl>
    <w:lvl w:ilvl="7">
      <w:start w:val="1"/>
      <w:numFmt w:val="lowerLetter"/>
      <w:lvlText w:val="%8."/>
      <w:lvlJc w:val="left"/>
      <w:pPr>
        <w:ind w:left="8803" w:firstLine="8443"/>
      </w:pPr>
      <w:rPr>
        <w:vertAlign w:val="baseline"/>
      </w:rPr>
    </w:lvl>
    <w:lvl w:ilvl="8">
      <w:start w:val="1"/>
      <w:numFmt w:val="lowerRoman"/>
      <w:lvlText w:val="%9."/>
      <w:lvlJc w:val="right"/>
      <w:pPr>
        <w:ind w:left="9523" w:firstLine="9343"/>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