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SCI-792-2015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Jaime Gutiérrez Alfaro, Coordinador de la Sede Interuniversitaria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Isidro Álvarez Salazar, Auditor Interno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Srta. Rebeca Madriz Romero, Presidenta de la Federación de Estudiantes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diciembre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2952, Artículo 8, del 11 de diciembre de 2015.  Modificación acuerdo de la Sesión Ordinaria No 2946, Artículo 10, del 05 de noviembre de 2015 “Advertencia sobre atención acuerdo del Consejo Institucional Sesión 2825 y responsabilidades de los Directores de los Centros y la representación Estudiantil”, para aclarar en el inciso a. del acuerdo, que el Centro Académico de Limón queda reubicado presupuestariamente dentro del Programa 1</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Sesión Ordinaria No. 2946 Artículo 10 del 05 de noviembre de 2015, tomó el acuerdo denominado “Advertencia sobre atención acuerdo del Consejo Institucional Sesión 2825 y responsabilidades de los Directores de los Centros y la representación Estudiantil”, en su inciso a. del acuerdo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134" w:right="448" w:hanging="283"/>
        <w:contextualSpacing w:val="0"/>
        <w:jc w:val="both"/>
      </w:pPr>
      <w:r w:rsidDel="00000000" w:rsidR="00000000" w:rsidRPr="00000000">
        <w:rPr>
          <w:rFonts w:ascii="Arial" w:cs="Arial" w:eastAsia="Arial" w:hAnsi="Arial"/>
          <w:i w:val="1"/>
          <w:sz w:val="22"/>
          <w:szCs w:val="22"/>
          <w:vertAlign w:val="baseline"/>
          <w:rtl w:val="0"/>
        </w:rPr>
        <w:t xml:space="preserve">“a. Solicitar a la Administración, reubicar presupuestariamente el Centro Académico de Limón dentro del Programa 1 Dirección Superior, a partir del 2016.</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oficio R-1159-2015, con fecha de recibido 19 de noviembre de 2015, suscrito por el Dr. Julio Calvo Alvarado, Rector, dirigido al Ing. Alexander Valerín, Coordinador de la Comisión de Planificación, en el cual solicita modificar el inciso a. del acuerdo de la Sesión Ordinaria del Consejo Institucional No 2946, Artículo 10, del 5 de noviembre de 2015,  para  aclarar que el Centro Académico de Limón quedará adscrito al Programa 1, igual que el Centro Académico de San José y no a la Dirección Superior, como se indica el acuerdo.  (Anexo 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reunión No. 655-2015, celebrada el 03 de diciembre de 2015, conoce la nota supra citada y dispone elevar propuesta al pleno en la Sesión del 11 de diciembre de 2015.</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Modificar el acuerdo tomado por el Consejo Institucional No. 2946, Artículo 10, del 05 de noviembre de 2015, denominado:  “Advertencia sobre atención acuerdo del Consejo Institucional Sesión 2825 y responsabilidades de los Directores de los Centros y la representación Estudiantil”,  para que se lea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right="448" w:firstLine="0"/>
        <w:contextualSpacing w:val="0"/>
        <w:jc w:val="both"/>
      </w:pPr>
      <w:r w:rsidDel="00000000" w:rsidR="00000000" w:rsidRPr="00000000">
        <w:rPr>
          <w:rFonts w:ascii="Arial" w:cs="Arial" w:eastAsia="Arial" w:hAnsi="Arial"/>
          <w:i w:val="1"/>
          <w:vertAlign w:val="baseline"/>
          <w:rtl w:val="0"/>
        </w:rPr>
        <w:t xml:space="preserve">“a. Solicitar a la Administración, reubicar presupuestariamente el Centro Académico de Limón dentro del Programa 1, a partir del 2016.</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Modificación-Acuerdo SO-2946-Art. 10- -Aclararación-Centro Académico Limón- Programa 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2952, Artículo 8, del 11 de diciembre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