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SCI-793-2015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Director del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Roy D’Avanzo, Director del Departamento Financiero Contable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diciembre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2952, Artículo 9, del 11 de diciembre de 2015.  Modificación acuerdo de la Sesión Ordinaria No 2940, Artículo 8, del 30 de setiembre de 2015, “Plazas Nuevas 2016 con Fondos FEES y Plazas Nuevas para el Centro Académico de Limón con Fondos Específicos”, para modificar características de la plaza CF2849</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Sesión Ordinaria No. 2940 Artículo 8 del 30 de setiembre  de 2015,  aprobó las Plazas Nuevas 2016 con Fondos FEES y Plazas Nuevas para el Centro Académico de Limón con Fondos Específicos, entre las cuales se encuentra la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148.0" w:type="dxa"/>
        <w:jc w:val="left"/>
        <w:tblInd w:w="416.0" w:type="dxa"/>
        <w:tblLayout w:type="fixed"/>
        <w:tblLook w:val="0000"/>
      </w:tblPr>
      <w:tblGrid>
        <w:gridCol w:w="413"/>
        <w:gridCol w:w="12"/>
        <w:gridCol w:w="383"/>
        <w:gridCol w:w="42"/>
        <w:gridCol w:w="786"/>
        <w:gridCol w:w="850"/>
        <w:gridCol w:w="992"/>
        <w:gridCol w:w="567"/>
        <w:gridCol w:w="567"/>
        <w:gridCol w:w="567"/>
        <w:gridCol w:w="1418"/>
        <w:gridCol w:w="1134"/>
        <w:gridCol w:w="1417"/>
        <w:tblGridChange w:id="0">
          <w:tblGrid>
            <w:gridCol w:w="413"/>
            <w:gridCol w:w="12"/>
            <w:gridCol w:w="383"/>
            <w:gridCol w:w="42"/>
            <w:gridCol w:w="786"/>
            <w:gridCol w:w="850"/>
            <w:gridCol w:w="992"/>
            <w:gridCol w:w="567"/>
            <w:gridCol w:w="567"/>
            <w:gridCol w:w="567"/>
            <w:gridCol w:w="1418"/>
            <w:gridCol w:w="1134"/>
            <w:gridCol w:w="1417"/>
          </w:tblGrid>
        </w:tblGridChange>
      </w:tblGrid>
      <w:tr>
        <w:trPr>
          <w:trHeight w:val="900" w:hRule="atLeast"/>
        </w:trPr>
        <w:tc>
          <w:tcPr>
            <w:gridSpan w:val="2"/>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bookmarkStart w:colFirst="0" w:colLast="0" w:name="gjdgxs" w:id="0"/>
            <w:bookmarkEnd w:id="0"/>
            <w:r w:rsidDel="00000000" w:rsidR="00000000" w:rsidRPr="00000000">
              <w:rPr>
                <w:rFonts w:ascii="Arial" w:cs="Arial" w:eastAsia="Arial" w:hAnsi="Arial"/>
                <w:b w:val="1"/>
                <w:sz w:val="16"/>
                <w:szCs w:val="16"/>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J 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Adscrita a: Observaciones</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CF2849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Cajero (a)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Departamento Financiero Contable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Apoyo a labores FC y Horario Vespertino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oficio VAD-649-2015, con fecha de recibido 04 de diciembre de 2015, suscrito por el Ing. Humberto Villalta Solano, Vicerrector de Administración, dirigido al Ing. Alexander Valerín, Coordinador de la Comisión de Planificación y Administración, en el cual remite solicitud para modificar el puesto de la plaza CF2849 Cajero(a) a Cajero(a) 2, y de categoría 7 a categoría 14.  (Anexo 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reunión No. 655-2015, del 03 de diciembre de 2015, conoce la nota supra citada y se dispone elevar propuesta al pleno en la Sesión del 11 de diciembre de 2015.</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Modificar el acuerdo tomado por el Consejo Institucional, en la Sesión Ordinaria No. 2940, Artículo 8, del 30 de setiembre de 2015,  “Creación de Plazas Nuevas 2016 con Fondos FEES y Plazas Nuevas para el Centro Académico de Limón con Fondos Específicos”, para modificar las características de la plaza CF2849,  para que se lea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720.0" w:type="dxa"/>
        <w:jc w:val="left"/>
        <w:tblInd w:w="-70.0" w:type="dxa"/>
        <w:tblLayout w:type="fixed"/>
        <w:tblLook w:val="0000"/>
      </w:tblPr>
      <w:tblGrid>
        <w:gridCol w:w="413"/>
        <w:gridCol w:w="12"/>
        <w:gridCol w:w="354"/>
        <w:gridCol w:w="29"/>
        <w:gridCol w:w="822"/>
        <w:gridCol w:w="14"/>
        <w:gridCol w:w="842"/>
        <w:gridCol w:w="10"/>
        <w:gridCol w:w="1025"/>
        <w:gridCol w:w="567"/>
        <w:gridCol w:w="443"/>
        <w:gridCol w:w="567"/>
        <w:gridCol w:w="1361"/>
        <w:gridCol w:w="1408"/>
        <w:gridCol w:w="10"/>
        <w:gridCol w:w="1833"/>
        <w:gridCol w:w="10"/>
        <w:tblGridChange w:id="0">
          <w:tblGrid>
            <w:gridCol w:w="413"/>
            <w:gridCol w:w="12"/>
            <w:gridCol w:w="354"/>
            <w:gridCol w:w="29"/>
            <w:gridCol w:w="822"/>
            <w:gridCol w:w="14"/>
            <w:gridCol w:w="842"/>
            <w:gridCol w:w="10"/>
            <w:gridCol w:w="1025"/>
            <w:gridCol w:w="567"/>
            <w:gridCol w:w="443"/>
            <w:gridCol w:w="567"/>
            <w:gridCol w:w="1361"/>
            <w:gridCol w:w="1408"/>
            <w:gridCol w:w="10"/>
            <w:gridCol w:w="1833"/>
            <w:gridCol w:w="10"/>
          </w:tblGrid>
        </w:tblGridChange>
      </w:tblGrid>
      <w:tr>
        <w:trPr>
          <w:trHeight w:val="900" w:hRule="atLeast"/>
        </w:trPr>
        <w:tc>
          <w:tcPr>
            <w:gridSpan w:val="2"/>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Cód. plaza Actual</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vertAlign w:val="baseline"/>
                <w:rtl w:val="0"/>
              </w:rPr>
              <w:t xml:space="preserve">Puesto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J 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Nombramiento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Adscrita 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Observaciones</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CF2849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Cajero (a)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Departamento Financiero Contable</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Apoyo a labores FC y Horario Vespertino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tabs>
          <w:tab w:val="left" w:pos="8789"/>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Modificación-Acuerdo SO-2940-Art. 8-Modificación-Plaza-CF2849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2952, Artículo 9, del 11 de diciembre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