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SCI-367-2011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Eugenio Trejos,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Mat. José Rosales Ortega Ph.D,  Presidente del Directorio de la AIR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Jorge Chaves, Integrante Comisión Permanente Estatuto Orgánico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Señor Manfred Rivera, Integrante Comisión Permanente Estatuto Orgánico</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2712, Artículo 8, del 12 de mayo del 2011. Nombramiento de dos representantes de la Comisión Permanente de Estatuto Orgánico del Consejo Institucional, ante la “Comisión que analizará  la propuesta: de modificación del Artículo 144, inciso b del Estatuto Orgánico”, conformada por el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144, inciso b, establece: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“Las reformas e interpretaciones al Estatuto Orgánico solicitadas a la Asamblea Institucional Representativa deberán ser discutidas y votadas por ésta en dos sesiones realizadas en un lapso no menor a cuatro meses, conforme al siguiente procedimiento:</w:t>
      </w:r>
      <w:r w:rsidDel="00000000" w:rsidR="00000000" w:rsidRPr="00000000">
        <w:rPr>
          <w:rtl w:val="0"/>
        </w:rPr>
      </w:r>
    </w:p>
    <w:p w:rsidR="00000000" w:rsidDel="00000000" w:rsidP="00000000" w:rsidRDefault="00000000" w:rsidRPr="00000000">
      <w:pPr>
        <w:numPr>
          <w:ilvl w:val="0"/>
          <w:numId w:val="1"/>
        </w:numPr>
        <w:spacing w:before="120" w:lineRule="auto"/>
        <w:ind w:left="644" w:hanging="284"/>
        <w:jc w:val="both"/>
        <w:rPr/>
      </w:pPr>
      <w:r w:rsidDel="00000000" w:rsidR="00000000" w:rsidRPr="00000000">
        <w:rPr>
          <w:rFonts w:ascii="Arial" w:cs="Arial" w:eastAsia="Arial" w:hAnsi="Arial"/>
          <w:i w:val="1"/>
          <w:sz w:val="22"/>
          <w:szCs w:val="22"/>
          <w:vertAlign w:val="baseline"/>
          <w:rtl w:val="0"/>
        </w:rPr>
        <w:t xml:space="preserve">En la primera sesión, la Asamblea Institucional Representativa debe discutir y votar la procedencia del proyecto de reforma o interpretación</w:t>
      </w:r>
      <w:r w:rsidDel="00000000" w:rsidR="00000000" w:rsidRPr="00000000">
        <w:rPr>
          <w:rtl w:val="0"/>
        </w:rPr>
      </w:r>
    </w:p>
    <w:p w:rsidR="00000000" w:rsidDel="00000000" w:rsidP="00000000" w:rsidRDefault="00000000" w:rsidRPr="00000000">
      <w:pPr>
        <w:numPr>
          <w:ilvl w:val="0"/>
          <w:numId w:val="1"/>
        </w:numPr>
        <w:ind w:left="644" w:hanging="284"/>
        <w:jc w:val="both"/>
        <w:rPr/>
      </w:pPr>
      <w:r w:rsidDel="00000000" w:rsidR="00000000" w:rsidRPr="00000000">
        <w:rPr>
          <w:rFonts w:ascii="Arial" w:cs="Arial" w:eastAsia="Arial" w:hAnsi="Arial"/>
          <w:i w:val="1"/>
          <w:sz w:val="22"/>
          <w:szCs w:val="22"/>
          <w:vertAlign w:val="baseline"/>
          <w:rtl w:val="0"/>
        </w:rPr>
        <w:t xml:space="preserve">De aprobarse su procedencia, el proyecto de reforma o interpretación pasa a ser estudiado por una Comisión de análisis, designada por el Directorio de la Asamblea Institucional Representativa,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1"/>
        </w:numPr>
        <w:ind w:left="644" w:hanging="284"/>
        <w:jc w:val="both"/>
        <w:rPr/>
      </w:pPr>
      <w:r w:rsidDel="00000000" w:rsidR="00000000" w:rsidRPr="00000000">
        <w:rPr>
          <w:rFonts w:ascii="Arial" w:cs="Arial" w:eastAsia="Arial" w:hAnsi="Arial"/>
          <w:i w:val="1"/>
          <w:sz w:val="22"/>
          <w:szCs w:val="22"/>
          <w:vertAlign w:val="baseline"/>
          <w:rtl w:val="0"/>
        </w:rPr>
        <w:t xml:space="preserve">La Comisión de análisis deberá entregar al Directorio, dentro del plazo definido por éste, un dictamen que contenga la propuesta de reforma o interpretación, el cual será entregado a los asambleístas para ser sometido a discusión y a votación en la siguiente sesión conforme a lo establecido en el cronograma de la Asamblea Institucional Representativa</w:t>
      </w:r>
      <w:r w:rsidDel="00000000" w:rsidR="00000000" w:rsidRPr="00000000">
        <w:rPr>
          <w:rtl w:val="0"/>
        </w:rPr>
      </w:r>
    </w:p>
    <w:p w:rsidR="00000000" w:rsidDel="00000000" w:rsidP="00000000" w:rsidRDefault="00000000" w:rsidRPr="00000000">
      <w:pPr>
        <w:numPr>
          <w:ilvl w:val="0"/>
          <w:numId w:val="1"/>
        </w:numPr>
        <w:ind w:left="643" w:hanging="283"/>
        <w:jc w:val="both"/>
        <w:rPr/>
      </w:pPr>
      <w:r w:rsidDel="00000000" w:rsidR="00000000" w:rsidRPr="00000000">
        <w:rPr>
          <w:rFonts w:ascii="Arial" w:cs="Arial" w:eastAsia="Arial" w:hAnsi="Arial"/>
          <w:i w:val="1"/>
          <w:sz w:val="22"/>
          <w:szCs w:val="22"/>
          <w:vertAlign w:val="baseline"/>
          <w:rtl w:val="0"/>
        </w:rPr>
        <w:t xml:space="preserve">En la segunda sesión, la Asamblea Institucional Representativa debe discutir y votar el dictamen de la Comisión de análisis así como las mociones de fondo relacionadas conforme a lo establecido en el Reglamento de la Asamblea Institucional Representativa. ”</w:t>
      </w:r>
      <w:r w:rsidDel="00000000" w:rsidR="00000000" w:rsidRPr="00000000">
        <w:rPr>
          <w:rtl w:val="0"/>
        </w:rPr>
      </w:r>
    </w:p>
    <w:p w:rsidR="00000000" w:rsidDel="00000000" w:rsidP="00000000" w:rsidRDefault="00000000" w:rsidRPr="00000000">
      <w:pPr>
        <w:spacing w:after="120" w:before="0" w:line="240" w:lineRule="auto"/>
        <w:ind w:left="426" w:firstLine="0"/>
        <w:contextualSpacing w:val="0"/>
      </w:pPr>
      <w:r w:rsidDel="00000000" w:rsidR="00000000" w:rsidRPr="00000000">
        <w:rPr>
          <w:rFonts w:ascii="Cambria" w:cs="Cambria" w:eastAsia="Cambria" w:hAnsi="Cambria"/>
          <w:b w:val="0"/>
          <w:i w:val="1"/>
          <w:sz w:val="16"/>
          <w:szCs w:val="16"/>
          <w:vertAlign w:val="baseline"/>
          <w:rtl w:val="0"/>
        </w:rPr>
        <w:t xml:space="preserve"> </w:t>
      </w:r>
      <w:r w:rsidDel="00000000" w:rsidR="00000000" w:rsidRPr="00000000">
        <w:rPr>
          <w:rtl w:val="0"/>
        </w:rPr>
      </w:r>
    </w:p>
    <w:p w:rsidR="00000000" w:rsidDel="00000000" w:rsidP="00000000" w:rsidRDefault="00000000" w:rsidRPr="00000000">
      <w:pPr>
        <w:spacing w:after="120" w:before="0" w:line="240" w:lineRule="auto"/>
        <w:ind w:left="426" w:firstLine="0"/>
        <w:contextualSpacing w:val="0"/>
      </w:pPr>
      <w:r w:rsidDel="00000000" w:rsidR="00000000" w:rsidRPr="00000000">
        <w:rPr>
          <w:rtl w:val="0"/>
        </w:rPr>
      </w:r>
    </w:p>
    <w:p w:rsidR="00000000" w:rsidDel="00000000" w:rsidP="00000000" w:rsidRDefault="00000000" w:rsidRPr="00000000">
      <w:pPr>
        <w:spacing w:after="120" w:before="0" w:line="240" w:lineRule="auto"/>
        <w:ind w:left="426"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DAIR-77-2011</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29  de abril  de 2011, suscrita por el Mat. José Rosales Ortega Ph.D,  Presidente del Directorio de la AIR, dirigida  al Máster Eugenio Trejos B., Presidente del Consejo Institucional, en el cual solicita el nombramiento de dos miembros de la Comisión Permanente de Estatuto Orgánico del Consejo Institucional, para que formen parte de la comisión de análisis que analizará la  propuesta de  modificación del Artículo 144, inciso b del Estatuto Orgánico, según el acuerdo de la Asamblea Institucional Representativa en la Sesión Ordinaria No.79-11, celebrada el 30 de marzo del presente año. Este Oficio fue trasladado a la Comisión de Estatuto Orgánico en la Sesión No. 2711, celebrada el 5 de mayo del 2011.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analizó la solicitud y dispuso elevar al pleno la siguiente propuesta.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Nombrar al M.Sc. Chaves Arce y al señor Manfred Rivera Redondo, como representantes de la Comisión Permanente de Estatuto Orgánico del Consejo Institucional, ante la Comisión que analizará la modificación del Artículo 144, inciso b del Estatuto Orgánico, conformada por el Directorio de la Asamblea Institucional Representativa, según acuerdo tomado en la Sesión Ordinaria No. 79-11.</w:t>
      </w: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 xml:space="preserve">  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2712, Artículo 8,  del 12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83" w:firstLine="0"/>
      </w:pPr>
      <w:rPr>
        <w:rFonts w:ascii="Arial" w:cs="Arial" w:eastAsia="Arial" w:hAnsi="Arial"/>
        <w:b w:val="1"/>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