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SCI-523-2011</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10206.0" w:type="dxa"/>
        <w:jc w:val="left"/>
        <w:tblLayout w:type="fixed"/>
        <w:tblLook w:val="0000"/>
      </w:tblPr>
      <w:tblGrid>
        <w:gridCol w:w="1123"/>
        <w:gridCol w:w="11"/>
        <w:gridCol w:w="9072"/>
        <w:tblGridChange w:id="0">
          <w:tblGrid>
            <w:gridCol w:w="1123"/>
            <w:gridCol w:w="11"/>
            <w:gridCol w:w="9072"/>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MSc. Eugenio Trejos, Rector</w:t>
            </w:r>
            <w:r w:rsidDel="00000000" w:rsidR="00000000" w:rsidRPr="00000000">
              <w:rPr>
                <w:rtl w:val="0"/>
              </w:rPr>
            </w:r>
          </w:p>
        </w:tc>
      </w:tr>
      <w:t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Dra. Hannia Rodríguez M, Directora Departamento de Recursos Humanos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Lic. Isidro Alvarez, Auditor Interno</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29 de junio del 2011</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ind w:left="1418" w:hanging="1418"/>
              <w:contextualSpacing w:val="0"/>
              <w:jc w:val="both"/>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ind w:left="57" w:hanging="2.9999999999999982"/>
              <w:contextualSpacing w:val="0"/>
              <w:jc w:val="both"/>
            </w:pPr>
            <w:r w:rsidDel="00000000" w:rsidR="00000000" w:rsidRPr="00000000">
              <w:rPr>
                <w:rFonts w:ascii="Arial" w:cs="Arial" w:eastAsia="Arial" w:hAnsi="Arial"/>
                <w:b w:val="1"/>
                <w:sz w:val="22"/>
                <w:szCs w:val="22"/>
                <w:vertAlign w:val="baseline"/>
                <w:rtl w:val="0"/>
              </w:rPr>
              <w:t xml:space="preserve">Sesión Ordinaria No. 2720, Artículo 12, del 29 de junio del 2011. Modificación de requisitos para la clase de puesto de Auditor(a) Interno(a), en el Manual de Puestos</w:t>
            </w:r>
            <w:r w:rsidDel="00000000" w:rsidR="00000000" w:rsidRPr="00000000">
              <w:rPr>
                <w:rtl w:val="0"/>
              </w:rPr>
            </w:r>
          </w:p>
          <w:p w:rsidR="00000000" w:rsidDel="00000000" w:rsidP="00000000" w:rsidRDefault="00000000" w:rsidRPr="00000000">
            <w:pPr>
              <w:ind w:left="1418" w:hanging="1418"/>
              <w:contextualSpacing w:val="0"/>
              <w:jc w:val="both"/>
            </w:pPr>
            <w:r w:rsidDel="00000000" w:rsidR="00000000" w:rsidRPr="00000000">
              <w:rPr>
                <w:rtl w:val="0"/>
              </w:rPr>
            </w:r>
          </w:p>
          <w:p w:rsidR="00000000" w:rsidDel="00000000" w:rsidP="00000000" w:rsidRDefault="00000000" w:rsidRPr="00000000">
            <w:pPr>
              <w:ind w:left="1418" w:hanging="1418"/>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La Secretaría del Consejo Institucional, recibe oficio R-996-2010, del 06 de octubre de 2010, suscrito por el M.Sc. Eugenio Trejos Benavides, dirigido a la Licda. Bertalía Sánchez Salazar, Directora de la Secretaría del Consejo Institucional, en el cual remite para los efectos pertinentes y conocimiento la Resolución RR-355-10, la cual indica:</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spacing w:after="0" w:before="0" w:lineRule="auto"/>
        <w:ind w:left="851" w:hanging="425"/>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sz w:val="22"/>
          <w:szCs w:val="22"/>
          <w:vertAlign w:val="baseline"/>
          <w:rtl w:val="0"/>
        </w:rPr>
        <w:t xml:space="preserve">1.  Dejar sin efecto la Resolución de Rectoría RR-279-10, a fin de que sea el Consejo Institucional quien decida en definitiva sobre la procedencia o improcedencia de las recomendaciones de modificación del puesto de Auditor Interno, en el Manual Descriptivo de Puestos”.</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426"/>
        </w:tabs>
        <w:spacing w:before="0" w:lineRule="auto"/>
        <w:ind w:left="426" w:hanging="426"/>
        <w:contextualSpacing w:val="1"/>
        <w:jc w:val="both"/>
        <w:rPr/>
      </w:pPr>
      <w:r w:rsidDel="00000000" w:rsidR="00000000" w:rsidRPr="00000000">
        <w:rPr>
          <w:rFonts w:ascii="Arial" w:cs="Arial" w:eastAsia="Arial" w:hAnsi="Arial"/>
          <w:vertAlign w:val="baseline"/>
          <w:rtl w:val="0"/>
        </w:rPr>
        <w:t xml:space="preserve">La Comisión de Planificación y Administración en reunión No. 409-2011, del 27 de mayo de 2011, dispone devolver la mencionada Resolución para que el Rector proceda conforme a la Segunda Convención Colectiva de Trabajo y sus Reformas, dado que es claro que es resorte de la Rectoría la modificación del Manual de Puestos.</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tabs>
          <w:tab w:val="left" w:pos="426"/>
        </w:tabs>
        <w:ind w:left="426" w:hanging="426"/>
        <w:contextualSpacing w:val="1"/>
        <w:jc w:val="both"/>
        <w:rPr/>
      </w:pPr>
      <w:r w:rsidDel="00000000" w:rsidR="00000000" w:rsidRPr="00000000">
        <w:rPr>
          <w:rFonts w:ascii="Arial" w:cs="Arial" w:eastAsia="Arial" w:hAnsi="Arial"/>
          <w:vertAlign w:val="baseline"/>
          <w:rtl w:val="0"/>
        </w:rPr>
        <w:t xml:space="preserve">La Secretaría del Consejo Institucional, recibe oficio R-577-2011, del 22 de junio de 2011, suscrito por el M.Sc. Eugenio Trejos Benavides, Rector, dirigido a la BQ. Grettel Castro Portuguez, Coordinadora de la Comisión de Planificación y Administración, en el cual remite para la reconsideración de la Comisión de Planificación y Administración, la Resolución RR-355-10, junto a la propuesta de modificación del Manual, para que el Consejo Institucional, en su condición de Jefe inmediato del Auditor, tenga conocimiento del mismo y apruebe las modificaciones.</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tabs>
          <w:tab w:val="left" w:pos="426"/>
        </w:tabs>
        <w:spacing w:after="0" w:lineRule="auto"/>
        <w:ind w:left="426" w:hanging="426"/>
        <w:contextualSpacing w:val="1"/>
        <w:jc w:val="both"/>
        <w:rPr/>
      </w:pPr>
      <w:r w:rsidDel="00000000" w:rsidR="00000000" w:rsidRPr="00000000">
        <w:rPr>
          <w:rFonts w:ascii="Arial" w:cs="Arial" w:eastAsia="Arial" w:hAnsi="Arial"/>
          <w:vertAlign w:val="baseline"/>
          <w:rtl w:val="0"/>
        </w:rPr>
        <w:t xml:space="preserve">La Comisión de Planificación y Administración, en reunión No. 413-2011, del 24 de junio de 2011, analiza la nota R- 577-2011, la modificación que se plantea es la incorporación al colegio profesional correspondiente como un nuevo requisito legal. Después de una consulta, en esta misma reunión, al MBA. Nelson Ortega, del Departamento de Recursos Humanos, sobre el procedimiento para llevar a cabo una modificación del Manual de Puestos, se aclara que como parte del estudio que realiza ese departamento se incluye la consulta al superior jerárquico, y considerando que el Consejo Institucional es el superior jerárquico del Auditor Interno y que la consulta previa no se realizó, se dispone elevar la propuesta al pleno del Consejo Institucional. </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spacing w:before="0" w:lineRule="auto"/>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426" w:hanging="426"/>
        <w:jc w:val="both"/>
        <w:rPr/>
      </w:pPr>
      <w:r w:rsidDel="00000000" w:rsidR="00000000" w:rsidRPr="00000000">
        <w:rPr>
          <w:rFonts w:ascii="Arial" w:cs="Arial" w:eastAsia="Arial" w:hAnsi="Arial"/>
          <w:b w:val="0"/>
          <w:sz w:val="24"/>
          <w:szCs w:val="24"/>
          <w:vertAlign w:val="baseline"/>
          <w:rtl w:val="0"/>
        </w:rPr>
        <w:t xml:space="preserve">Dar por conocida la modificación de requisitos para la clase de puesto de Auditor(a) Interno(a), en el Manual de Puestos, de la cual no se tiene ninguna objeción.</w:t>
      </w:r>
    </w:p>
    <w:p w:rsidR="00000000" w:rsidDel="00000000" w:rsidP="00000000" w:rsidRDefault="00000000" w:rsidRPr="00000000">
      <w:pPr>
        <w:spacing w:after="0" w:before="0" w:line="24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426" w:hanging="426"/>
        <w:contextualSpacing w:val="1"/>
        <w:jc w:val="both"/>
        <w:rPr/>
      </w:pPr>
      <w:r w:rsidDel="00000000" w:rsidR="00000000" w:rsidRPr="00000000">
        <w:rPr>
          <w:rFonts w:ascii="Arial" w:cs="Arial" w:eastAsia="Arial" w:hAnsi="Arial"/>
          <w:b w:val="0"/>
          <w:sz w:val="24"/>
          <w:szCs w:val="24"/>
          <w:vertAlign w:val="baseline"/>
          <w:rtl w:val="0"/>
        </w:rPr>
        <w:t xml:space="preserve">Solicitar al Rector, proceder con lo que estipula la Segunda Convención Colectiva de Trabajo y sus Reformas, para que se haga efectiva la Resolución RR-279-10.</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426" w:hanging="426"/>
        <w:contextualSpacing w:val="1"/>
        <w:jc w:val="both"/>
        <w:rPr/>
      </w:pPr>
      <w:r w:rsidDel="00000000" w:rsidR="00000000" w:rsidRPr="00000000">
        <w:rPr>
          <w:rFonts w:ascii="Arial" w:cs="Arial" w:eastAsia="Arial" w:hAnsi="Arial"/>
          <w:b w:val="0"/>
          <w:sz w:val="24"/>
          <w:szCs w:val="24"/>
          <w:vertAlign w:val="baseline"/>
          <w:rtl w:val="0"/>
        </w:rPr>
        <w:t xml:space="preserve">Solicitar a la Secretaría del Consejo Institucional, proceder con la respectiva publicación en la Gaceta del Tecnológico.</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134" w:hanging="1134"/>
        <w:contextualSpacing w:val="0"/>
        <w:jc w:val="both"/>
      </w:pPr>
      <w:r w:rsidDel="00000000" w:rsidR="00000000" w:rsidRPr="00000000">
        <w:rPr>
          <w:rFonts w:ascii="Arial" w:cs="Arial" w:eastAsia="Arial" w:hAnsi="Arial"/>
          <w:b w:val="1"/>
          <w:vertAlign w:val="baseline"/>
          <w:rtl w:val="0"/>
        </w:rPr>
        <w:t xml:space="preserve">NOTA:</w:t>
        <w:tab/>
        <w:t xml:space="preserve">Este acuerdo tuvo firmeza con la aprobación del Acta, en la Sesión No. 2722, celebrada el 21 de julio del 2011.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500.0" w:type="dxa"/>
        <w:jc w:val="left"/>
        <w:tblInd w:w="-70.0" w:type="dxa"/>
        <w:tblLayout w:type="fixed"/>
        <w:tblLook w:val="0000"/>
      </w:tblPr>
      <w:tblGrid>
        <w:gridCol w:w="4510"/>
        <w:gridCol w:w="240"/>
        <w:gridCol w:w="4680"/>
        <w:gridCol w:w="70"/>
        <w:tblGridChange w:id="0">
          <w:tblGrid>
            <w:gridCol w:w="4510"/>
            <w:gridCol w:w="240"/>
            <w:gridCol w:w="4680"/>
            <w:gridCol w:w="70"/>
          </w:tblGrid>
        </w:tblGridChange>
      </w:tblGrid>
      <w:tr>
        <w:tc>
          <w:tcPr>
            <w:gridSpan w:val="2"/>
          </w:tcPr>
          <w:p w:rsidR="00000000" w:rsidDel="00000000" w:rsidP="00000000" w:rsidRDefault="00000000" w:rsidRPr="00000000">
            <w:pPr>
              <w:ind w:right="567"/>
              <w:contextualSpacing w:val="0"/>
              <w:jc w:val="both"/>
            </w:pPr>
            <w:r w:rsidDel="00000000" w:rsidR="00000000" w:rsidRPr="00000000">
              <w:rPr>
                <w:rtl w:val="0"/>
              </w:rPr>
            </w:r>
          </w:p>
        </w:tc>
        <w:tc>
          <w:tcPr>
            <w:gridSpan w:val="2"/>
          </w:tcPr>
          <w:p w:rsidR="00000000" w:rsidDel="00000000" w:rsidP="00000000" w:rsidRDefault="00000000" w:rsidRPr="00000000">
            <w:pPr>
              <w:ind w:left="284" w:right="567" w:hanging="284"/>
              <w:contextualSpacing w:val="0"/>
              <w:jc w:val="both"/>
            </w:pP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De Administración</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Docencia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tl w:val="0"/>
              </w:rPr>
            </w:r>
          </w:p>
        </w:tc>
        <w:tc>
          <w:tcPr>
            <w:gridSpan w:val="3"/>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Centro Académico San José</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Auditoría Interna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1134" w:top="2157"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627380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2720, Artículo 12,  del 29 de junio del 2011</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627380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