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SCI-793-2011</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47.0" w:type="dxa"/>
        <w:jc w:val="left"/>
        <w:tblLayout w:type="fixed"/>
        <w:tblLook w:val="0000"/>
      </w:tblPr>
      <w:tblGrid>
        <w:gridCol w:w="1136"/>
        <w:gridCol w:w="11"/>
        <w:gridCol w:w="8600"/>
        <w:tblGridChange w:id="0">
          <w:tblGrid>
            <w:gridCol w:w="1136"/>
            <w:gridCol w:w="11"/>
            <w:gridCol w:w="8600"/>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Dr. Milton Villarreal, Rector ai.</w:t>
            </w:r>
            <w:r w:rsidDel="00000000" w:rsidR="00000000" w:rsidRPr="00000000">
              <w:rPr>
                <w:rtl w:val="0"/>
              </w:rPr>
            </w:r>
          </w:p>
          <w:p w:rsidR="00000000" w:rsidDel="00000000" w:rsidP="00000000" w:rsidRDefault="00000000" w:rsidRPr="00000000">
            <w:pPr>
              <w:ind w:left="26" w:right="51" w:firstLine="3.999999999999999"/>
              <w:contextualSpacing w:val="0"/>
            </w:pPr>
            <w:r w:rsidDel="00000000" w:rsidR="00000000" w:rsidRPr="00000000">
              <w:rPr>
                <w:rFonts w:ascii="Arial" w:cs="Arial" w:eastAsia="Arial" w:hAnsi="Arial"/>
                <w:sz w:val="22"/>
                <w:szCs w:val="22"/>
                <w:vertAlign w:val="baseline"/>
                <w:rtl w:val="0"/>
              </w:rPr>
              <w:t xml:space="preserve">MAE. Marcel Hernández, Vicerrector de  Administración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De:</w:t>
            </w:r>
            <w:r w:rsidDel="00000000" w:rsidR="00000000" w:rsidRPr="00000000">
              <w:rPr>
                <w:rtl w:val="0"/>
              </w:rPr>
            </w:r>
          </w:p>
        </w:tc>
        <w:tc>
          <w:tcPr/>
          <w:p w:rsidR="00000000" w:rsidDel="00000000" w:rsidP="00000000" w:rsidRDefault="00000000" w:rsidRPr="00000000">
            <w:pPr>
              <w:ind w:left="26" w:right="51" w:firstLine="3.999999999999999"/>
              <w:contextualSpacing w:val="0"/>
            </w:pP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tc>
      </w:tr>
      <w:tr>
        <w:tc>
          <w:tcPr>
            <w:gridSpan w:val="2"/>
          </w:tcPr>
          <w:p w:rsidR="00000000" w:rsidDel="00000000" w:rsidP="00000000" w:rsidRDefault="00000000" w:rsidRPr="00000000">
            <w:pPr>
              <w:tabs>
                <w:tab w:val="right" w:pos="2100"/>
                <w:tab w:val="left" w:pos="2694"/>
              </w:tabs>
              <w:contextualSpacing w:val="0"/>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13 de octubre del 2011</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Sesión Ordinaria No. 2736, Artículo 12, del 13 de octubre del 2011. Prórroga a la Comisión de Transportes, hasta el 15 de noviembre de 2011, a fin de entregar al Consejo Institucional un informe con las acciones tomadas, según acuerdo Sesión Ordinaria No. 2729, Artículo 15, del 01 de setiembre de 2011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12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CONSIDERANDO QUE: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tabs>
          <w:tab w:val="left" w:pos="426"/>
        </w:tabs>
        <w:spacing w:after="0" w:before="0" w:lineRule="auto"/>
        <w:ind w:left="426" w:hanging="426"/>
        <w:contextualSpacing w:val="1"/>
        <w:jc w:val="both"/>
        <w:rPr/>
      </w:pPr>
      <w:r w:rsidDel="00000000" w:rsidR="00000000" w:rsidRPr="00000000">
        <w:rPr>
          <w:rFonts w:ascii="Arial" w:cs="Arial" w:eastAsia="Arial" w:hAnsi="Arial"/>
          <w:vertAlign w:val="baseline"/>
          <w:rtl w:val="0"/>
        </w:rPr>
        <w:t xml:space="preserve">El Consejo Institucional en Sesión Ordinaria No. 2729, Artículo 15, del 1º de setiembre del 2011, tomó el acuerdo: “Modificación de la integración de la Comisión de Transportes, del acuerdo tomado en la Sesión Ordinaria No. 2681, Artículo 12 del 23 de setiembre del 2010, para que analice de manera prioritaria el tema de transporte externo”, que en su inciso c señala lo siguiente:</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ind w:left="851" w:hanging="425"/>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sz w:val="22"/>
          <w:szCs w:val="22"/>
          <w:vertAlign w:val="baseline"/>
          <w:rtl w:val="0"/>
        </w:rPr>
        <w:t xml:space="preserve">c.   Dar un plazo al 13 de octubre del 2011, para que esta Comisión presente ante el Consejo Institucional, el Informe de la tarea asignada”.</w:t>
      </w:r>
      <w:r w:rsidDel="00000000" w:rsidR="00000000" w:rsidRPr="00000000">
        <w:rPr>
          <w:rtl w:val="0"/>
        </w:rPr>
      </w:r>
    </w:p>
    <w:p w:rsidR="00000000" w:rsidDel="00000000" w:rsidP="00000000" w:rsidRDefault="00000000" w:rsidRPr="00000000">
      <w:pPr>
        <w:tabs>
          <w:tab w:val="left" w:pos="426"/>
        </w:tabs>
        <w:spacing w:after="0" w:before="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426"/>
        </w:tabs>
        <w:spacing w:before="0" w:lineRule="auto"/>
        <w:ind w:left="426" w:hanging="426"/>
        <w:contextualSpacing w:val="1"/>
        <w:jc w:val="both"/>
        <w:rPr/>
      </w:pPr>
      <w:r w:rsidDel="00000000" w:rsidR="00000000" w:rsidRPr="00000000">
        <w:rPr>
          <w:rFonts w:ascii="Arial" w:cs="Arial" w:eastAsia="Arial" w:hAnsi="Arial"/>
          <w:vertAlign w:val="baseline"/>
          <w:rtl w:val="0"/>
        </w:rPr>
        <w:t xml:space="preserve">Con fecha 04 de octubre de 2011, la Secretaría del Consejo Institucional, recibe memorando VAD-382-2011, suscrito por el M.A.E. Marcel Hernández Mora, Vicerrector de Administración, dirigido al Dr. Julio Calvo Alvarado, Presidente del Consejo Institucional, con copia a la B</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Q. Grettel Castro Portuguez, Coordinadora de la Comisión de Planificación y Administración, en el cual solicita ampliar el plazo a la Comisión hasta el 15 de noviembre de 2011, a fin de entregar al Consejo Institucional un informe con las acciones tomadas al respecto.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tabs>
          <w:tab w:val="left" w:pos="426"/>
        </w:tabs>
        <w:ind w:left="426" w:hanging="426"/>
        <w:contextualSpacing w:val="1"/>
        <w:jc w:val="both"/>
        <w:rPr/>
      </w:pPr>
      <w:r w:rsidDel="00000000" w:rsidR="00000000" w:rsidRPr="00000000">
        <w:rPr>
          <w:rFonts w:ascii="Arial" w:cs="Arial" w:eastAsia="Arial" w:hAnsi="Arial"/>
          <w:vertAlign w:val="baseline"/>
          <w:rtl w:val="0"/>
        </w:rPr>
        <w:t xml:space="preserve">La Comisión de Planificación y Administración, en reunión No. 431-2011, del 07 de octubre de 2011, analiza la solicitud y se dispone elevar la propuesta al Consejo Institucional.</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spacing w:after="0" w:before="0" w:lineRule="auto"/>
        <w:contextualSpacing w:val="0"/>
        <w:jc w:val="both"/>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Conceder prórroga a la Comisión de Transportes, hasta el 15 de noviembre de 2011, a fin de entregar al Consejo Institucional un informe con las acciones tomadas al respecto, según acuerdo del Consejo Institucional de Sesión No. 2729, Artículo 15, del 01 de setiembre de 2011.</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1"/>
          <w:numId w:val="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30.0" w:type="dxa"/>
        <w:jc w:val="left"/>
        <w:tblInd w:w="-70.0" w:type="dxa"/>
        <w:tblLayout w:type="fixed"/>
        <w:tblLook w:val="0000"/>
      </w:tblPr>
      <w:tblGrid>
        <w:gridCol w:w="4510"/>
        <w:gridCol w:w="4920"/>
        <w:tblGridChange w:id="0">
          <w:tblGrid>
            <w:gridCol w:w="4510"/>
            <w:gridCol w:w="4920"/>
          </w:tblGrid>
        </w:tblGridChange>
      </w:tblGrid>
      <w:tr>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Centro Académico San José</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Dirección Sede Regional San Carlos</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Auditoría Interna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tl w:val="0"/>
              </w:rPr>
            </w:r>
          </w:p>
        </w:tc>
        <w:tc>
          <w:tcPr/>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Oficina de Asesoría Legal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ind w:left="284" w:right="567" w:firstLine="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843"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627380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2736, Artículo 12,  del  13 de octubre del 2011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627380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b w:val="1"/>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