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SCI-792-2011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47.0" w:type="dxa"/>
        <w:jc w:val="left"/>
        <w:tblLayout w:type="fixed"/>
        <w:tblLook w:val="0000"/>
      </w:tblPr>
      <w:tblGrid>
        <w:gridCol w:w="1136"/>
        <w:gridCol w:w="11"/>
        <w:gridCol w:w="8600"/>
        <w:tblGridChange w:id="0">
          <w:tblGrid>
            <w:gridCol w:w="1136"/>
            <w:gridCol w:w="11"/>
            <w:gridCol w:w="8600"/>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Milton Villarreal, Rector ai.</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Ing. Luis Paulino Méndez Badilla, Vicerrector de Docencia</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MAP. Jaime Brenes, Director Escuela de Biología</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MBA. Willian Vives B, Director Depto. Admisión y Registro</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13 de octubre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2736, Artículo 15, del 13 de octubre del 2011. Nombre del título a otorgar en el Programa de Licenciatura en Biotecnología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2674, Artículo 14, del 12 de agosto del 2010, aprobó el Programa de Licenciatura en Ingeniería en Biotecnología de la Escuela de Biología, para iniciar su impartición en el I semestre del año 2011 y creó la Unidad Académica de Licenciatura en Biotecnología dentro de la Escuela de Biología, categoría 3; no obstante, en esa aprobación no se incluyó la aprobación del cambio del nombre del título por razones ajenas a este Órgano.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ViDa-871-2011, con fecha 26 de setiembre del 2011, suscrito por el Ing. Luis Paulino Méndez, Vicerrector de Docencia, dirigido al Dr. Julio C. Calvo A., Presidente del Consejo Institucional, en el cual remite el comunicado de acuerdo del Consejo de Docencia de la Sesión No. 08-2011, Artículo 6, inciso e, del 21 de seiembre del 2011, como se detalla a continuación: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left="1276" w:right="1133"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ind w:left="1276" w:right="1133" w:firstLine="0"/>
        <w:contextualSpacing w:val="0"/>
        <w:jc w:val="both"/>
      </w:pPr>
      <w:r w:rsidDel="00000000" w:rsidR="00000000" w:rsidRPr="00000000">
        <w:rPr>
          <w:rtl w:val="0"/>
        </w:rPr>
      </w:r>
    </w:p>
    <w:p w:rsidR="00000000" w:rsidDel="00000000" w:rsidP="00000000" w:rsidRDefault="00000000" w:rsidRPr="00000000">
      <w:pPr>
        <w:numPr>
          <w:ilvl w:val="0"/>
          <w:numId w:val="4"/>
        </w:numPr>
        <w:ind w:left="1560" w:right="1133" w:hanging="284.0000000000000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programa de Licenciatura en Ingeniería en Biotecnología de la Escuela de Biología inició en el I semestre de 2011, aprobado por el Consejo Institucional en Sesión Ordinaria No. 2674, Artículo 14 del 12 de agosto de 2010. </w:t>
      </w:r>
      <w:r w:rsidDel="00000000" w:rsidR="00000000" w:rsidRPr="00000000">
        <w:rPr>
          <w:rtl w:val="0"/>
        </w:rPr>
      </w:r>
    </w:p>
    <w:p w:rsidR="00000000" w:rsidDel="00000000" w:rsidP="00000000" w:rsidRDefault="00000000" w:rsidRPr="00000000">
      <w:pPr>
        <w:ind w:left="1560" w:right="1133" w:hanging="284.00000000000006"/>
        <w:contextualSpacing w:val="0"/>
        <w:jc w:val="both"/>
      </w:pPr>
      <w:r w:rsidDel="00000000" w:rsidR="00000000" w:rsidRPr="00000000">
        <w:rPr>
          <w:rtl w:val="0"/>
        </w:rPr>
      </w:r>
    </w:p>
    <w:p w:rsidR="00000000" w:rsidDel="00000000" w:rsidP="00000000" w:rsidRDefault="00000000" w:rsidRPr="00000000">
      <w:pPr>
        <w:numPr>
          <w:ilvl w:val="0"/>
          <w:numId w:val="4"/>
        </w:numPr>
        <w:ind w:left="1560" w:right="1133" w:hanging="284.0000000000000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Departamento de Admisión y Registro hace la indicación que en página 33, punto G del reglamento de Requisitos de graduación y diploma a otorgar dice:</w:t>
      </w:r>
      <w:r w:rsidDel="00000000" w:rsidR="00000000" w:rsidRPr="00000000">
        <w:rPr>
          <w:rtl w:val="0"/>
        </w:rPr>
      </w:r>
    </w:p>
    <w:p w:rsidR="00000000" w:rsidDel="00000000" w:rsidP="00000000" w:rsidRDefault="00000000" w:rsidRPr="00000000">
      <w:pPr>
        <w:ind w:left="1276" w:right="1133" w:firstLine="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tabs>
          <w:tab w:val="left" w:pos="6946"/>
        </w:tabs>
        <w:ind w:left="1843" w:right="1558" w:firstLine="0"/>
        <w:contextualSpacing w:val="0"/>
        <w:jc w:val="both"/>
      </w:pPr>
      <w:r w:rsidDel="00000000" w:rsidR="00000000" w:rsidRPr="00000000">
        <w:rPr>
          <w:rFonts w:ascii="Arial" w:cs="Arial" w:eastAsia="Arial" w:hAnsi="Arial"/>
          <w:i w:val="1"/>
          <w:sz w:val="20"/>
          <w:szCs w:val="20"/>
          <w:vertAlign w:val="baseline"/>
          <w:rtl w:val="0"/>
        </w:rPr>
        <w:t xml:space="preserve">“Para optar por el diploma de Licenciado(o) en Ingeniería en Biotecnología”, siendo lo correcto: </w:t>
      </w:r>
      <w:r w:rsidDel="00000000" w:rsidR="00000000" w:rsidRPr="00000000">
        <w:rPr>
          <w:rFonts w:ascii="Arial" w:cs="Arial" w:eastAsia="Arial" w:hAnsi="Arial"/>
          <w:b w:val="1"/>
          <w:i w:val="1"/>
          <w:sz w:val="20"/>
          <w:szCs w:val="20"/>
          <w:vertAlign w:val="baseline"/>
          <w:rtl w:val="0"/>
        </w:rPr>
        <w:t xml:space="preserve">Ingeniero (a) en Biotecnología, grado académico Licenciatura.</w:t>
      </w:r>
      <w:r w:rsidDel="00000000" w:rsidR="00000000" w:rsidRPr="00000000">
        <w:rPr>
          <w:rtl w:val="0"/>
        </w:rPr>
      </w:r>
    </w:p>
    <w:p w:rsidR="00000000" w:rsidDel="00000000" w:rsidP="00000000" w:rsidRDefault="00000000" w:rsidRPr="00000000">
      <w:pPr>
        <w:tabs>
          <w:tab w:val="left" w:pos="6946"/>
        </w:tabs>
        <w:ind w:left="1843" w:right="1558" w:firstLine="0"/>
        <w:contextualSpacing w:val="0"/>
        <w:jc w:val="both"/>
      </w:pPr>
      <w:r w:rsidDel="00000000" w:rsidR="00000000" w:rsidRPr="00000000">
        <w:rPr>
          <w:rFonts w:ascii="Arial" w:cs="Arial" w:eastAsia="Arial" w:hAnsi="Arial"/>
          <w:b w:val="1"/>
          <w:i w:val="1"/>
          <w:sz w:val="20"/>
          <w:szCs w:val="20"/>
          <w:vertAlign w:val="baseline"/>
          <w:rtl w:val="0"/>
        </w:rPr>
        <w:t xml:space="preserve">Según Convenio de Nomenclatura de Grados y Títulos de la Educación Superior.</w:t>
      </w:r>
      <w:r w:rsidDel="00000000" w:rsidR="00000000" w:rsidRPr="00000000">
        <w:rPr>
          <w:rtl w:val="0"/>
        </w:rPr>
      </w:r>
    </w:p>
    <w:p w:rsidR="00000000" w:rsidDel="00000000" w:rsidP="00000000" w:rsidRDefault="00000000" w:rsidRPr="00000000">
      <w:pPr>
        <w:ind w:left="1276" w:right="1133" w:firstLine="0"/>
        <w:contextualSpacing w:val="0"/>
        <w:jc w:val="both"/>
      </w:pPr>
      <w:r w:rsidDel="00000000" w:rsidR="00000000" w:rsidRPr="00000000">
        <w:rPr>
          <w:rtl w:val="0"/>
        </w:rPr>
      </w:r>
    </w:p>
    <w:p w:rsidR="00000000" w:rsidDel="00000000" w:rsidP="00000000" w:rsidRDefault="00000000" w:rsidRPr="00000000">
      <w:pPr>
        <w:numPr>
          <w:ilvl w:val="0"/>
          <w:numId w:val="4"/>
        </w:numPr>
        <w:ind w:left="1560" w:right="1133" w:hanging="284.0000000000000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 el Consejo de Escuela Sesión Ordinaria 45-2010, artículo 8, con fecha 29 de noviembre 2010, se aprobó el cambio de título a: Ingeniero (a) en Biotecnología con grado académico de Licenciatura.</w:t>
      </w:r>
      <w:r w:rsidDel="00000000" w:rsidR="00000000" w:rsidRPr="00000000">
        <w:rPr>
          <w:rtl w:val="0"/>
        </w:rPr>
      </w:r>
    </w:p>
    <w:p w:rsidR="00000000" w:rsidDel="00000000" w:rsidP="00000000" w:rsidRDefault="00000000" w:rsidRPr="00000000">
      <w:pPr>
        <w:ind w:left="1560" w:right="1133" w:firstLine="0"/>
        <w:contextualSpacing w:val="0"/>
        <w:jc w:val="both"/>
      </w:pPr>
      <w:r w:rsidDel="00000000" w:rsidR="00000000" w:rsidRPr="00000000">
        <w:rPr>
          <w:rtl w:val="0"/>
        </w:rPr>
      </w:r>
    </w:p>
    <w:p w:rsidR="00000000" w:rsidDel="00000000" w:rsidP="00000000" w:rsidRDefault="00000000" w:rsidRPr="00000000">
      <w:pPr>
        <w:numPr>
          <w:ilvl w:val="0"/>
          <w:numId w:val="4"/>
        </w:numPr>
        <w:ind w:left="1560" w:right="1133" w:hanging="284.0000000000000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 el oficio sobre EB-533-2011, con fecha 12 de setiembre, se le solicita al CEDA  una aclaración en el Plan de Estudios del Programa de Licenciatura en Ingeniería en Biotecnología sobre el título a otorgar en dicho plan.</w:t>
      </w:r>
      <w:r w:rsidDel="00000000" w:rsidR="00000000" w:rsidRPr="00000000">
        <w:rPr>
          <w:rtl w:val="0"/>
        </w:rPr>
      </w:r>
    </w:p>
    <w:p w:rsidR="00000000" w:rsidDel="00000000" w:rsidP="00000000" w:rsidRDefault="00000000" w:rsidRPr="00000000">
      <w:pPr>
        <w:ind w:left="1560" w:right="1133" w:firstLine="0"/>
        <w:contextualSpacing w:val="0"/>
        <w:jc w:val="both"/>
      </w:pPr>
      <w:r w:rsidDel="00000000" w:rsidR="00000000" w:rsidRPr="00000000">
        <w:rPr>
          <w:rtl w:val="0"/>
        </w:rPr>
      </w:r>
    </w:p>
    <w:p w:rsidR="00000000" w:rsidDel="00000000" w:rsidP="00000000" w:rsidRDefault="00000000" w:rsidRPr="00000000">
      <w:pPr>
        <w:numPr>
          <w:ilvl w:val="0"/>
          <w:numId w:val="4"/>
        </w:numPr>
        <w:ind w:left="1560" w:right="1133" w:hanging="284.0000000000000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 Oficio CEDA-305-2011, con fecha 14 de setiembre, se comunica el aval respectivo para el cambio de título.</w:t>
      </w:r>
      <w:r w:rsidDel="00000000" w:rsidR="00000000" w:rsidRPr="00000000">
        <w:rPr>
          <w:rtl w:val="0"/>
        </w:rPr>
      </w:r>
    </w:p>
    <w:p w:rsidR="00000000" w:rsidDel="00000000" w:rsidP="00000000" w:rsidRDefault="00000000" w:rsidRPr="00000000">
      <w:pPr>
        <w:ind w:left="1276" w:right="1133" w:firstLine="0"/>
        <w:contextualSpacing w:val="0"/>
        <w:jc w:val="both"/>
      </w:pPr>
      <w:r w:rsidDel="00000000" w:rsidR="00000000" w:rsidRPr="00000000">
        <w:rPr>
          <w:rtl w:val="0"/>
        </w:rPr>
      </w:r>
    </w:p>
    <w:p w:rsidR="00000000" w:rsidDel="00000000" w:rsidP="00000000" w:rsidRDefault="00000000" w:rsidRPr="00000000">
      <w:pPr>
        <w:ind w:left="1276" w:right="1133" w:firstLine="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1276" w:right="1133"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1276" w:right="1133"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Avalar  el cambio del título a otorgar en el plan de Licenciatura en Biotecnología, el cual indique: Ingeniero (a) en Biotecnología con grado académico de Licenciatura.</w:t>
      </w:r>
      <w:r w:rsidDel="00000000" w:rsidR="00000000" w:rsidRPr="00000000">
        <w:rPr>
          <w:rtl w:val="0"/>
        </w:rPr>
      </w:r>
    </w:p>
    <w:p w:rsidR="00000000" w:rsidDel="00000000" w:rsidP="00000000" w:rsidRDefault="00000000" w:rsidRPr="00000000">
      <w:pPr>
        <w:ind w:left="1276" w:right="1133"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1276" w:right="1133" w:hanging="360"/>
        <w:jc w:val="both"/>
        <w:rPr>
          <w:rFonts w:ascii="Arial" w:cs="Arial" w:eastAsia="Arial" w:hAnsi="Arial"/>
          <w:i w:val="0"/>
          <w:sz w:val="20"/>
          <w:szCs w:val="20"/>
        </w:rPr>
      </w:pPr>
      <w:r w:rsidDel="00000000" w:rsidR="00000000" w:rsidRPr="00000000">
        <w:rPr>
          <w:rFonts w:ascii="Arial" w:cs="Arial" w:eastAsia="Arial" w:hAnsi="Arial"/>
          <w:b w:val="0"/>
          <w:i w:val="1"/>
          <w:sz w:val="20"/>
          <w:szCs w:val="20"/>
          <w:vertAlign w:val="baseline"/>
          <w:rtl w:val="0"/>
        </w:rPr>
        <w:t xml:space="preserve">Comunicar al Consejo Institucional</w:t>
      </w:r>
      <w:r w:rsidDel="00000000" w:rsidR="00000000" w:rsidRPr="00000000">
        <w:rPr>
          <w:rtl w:val="0"/>
        </w:rPr>
      </w:r>
    </w:p>
    <w:p w:rsidR="00000000" w:rsidDel="00000000" w:rsidP="00000000" w:rsidRDefault="00000000" w:rsidRPr="00000000">
      <w:pPr>
        <w:ind w:left="1276" w:right="1133" w:firstLine="0"/>
        <w:contextualSpacing w:val="0"/>
        <w:jc w:val="both"/>
      </w:pPr>
      <w:r w:rsidDel="00000000" w:rsidR="00000000" w:rsidRPr="00000000">
        <w:rPr>
          <w:rtl w:val="0"/>
        </w:rPr>
      </w:r>
    </w:p>
    <w:p w:rsidR="00000000" w:rsidDel="00000000" w:rsidP="00000000" w:rsidRDefault="00000000" w:rsidRPr="00000000">
      <w:pPr>
        <w:spacing w:after="120" w:before="0" w:line="240" w:lineRule="auto"/>
        <w:ind w:left="1276" w:right="1133" w:firstLine="0"/>
        <w:contextualSpacing w:val="0"/>
      </w:pPr>
      <w:r w:rsidDel="00000000" w:rsidR="00000000" w:rsidRPr="00000000">
        <w:rPr>
          <w:rFonts w:ascii="Arial" w:cs="Arial" w:eastAsia="Arial" w:hAnsi="Arial"/>
          <w:b w:val="1"/>
          <w:i w:val="1"/>
          <w:color w:val="000000"/>
          <w:sz w:val="20"/>
          <w:szCs w:val="20"/>
          <w:vertAlign w:val="baseline"/>
          <w:rtl w:val="0"/>
        </w:rPr>
        <w:t xml:space="preserve">Acuerdo Firme y unánime</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1"/>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No. 325-2011, realizada el 10 de octubre del 2011, conoció la solicitud de aprobación del título del Programa de Licenciatura en Biotecnología y dispuso elevar la propuesta al Pleno.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sz w:val="24"/>
          <w:szCs w:val="24"/>
        </w:rPr>
      </w:pPr>
      <w:r w:rsidDel="00000000" w:rsidR="00000000" w:rsidRPr="00000000">
        <w:rPr>
          <w:rFonts w:ascii="Arial" w:cs="Arial" w:eastAsia="Arial" w:hAnsi="Arial"/>
          <w:vertAlign w:val="baseline"/>
          <w:rtl w:val="0"/>
        </w:rPr>
        <w:t xml:space="preserve">Aprobar el nombre del título a otorgar en el Programa de Licenciatura Biotecnología aprobado por el Consejo Institucional en la Sesión Ordinaria No. 2674, Artículo 14, del 12 de agosto del 2010, para que sea:  “Ingeniero (a) en Biotecnología con grado académico de Licenciatura”.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CEDA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2736, Artículo 15,  del  13 de octubre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vertAlign w:val="baseline"/>
      </w:rPr>
    </w:lvl>
    <w:lvl w:ilvl="1">
      <w:start w:val="5"/>
      <w:numFmt w:val="decimal"/>
      <w:lvlText w:val="%1.%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1996" w:firstLine="1636"/>
      </w:pPr>
      <w:rPr>
        <w:b w:val="1"/>
        <w:vertAlign w:val="baseline"/>
      </w:rPr>
    </w:lvl>
    <w:lvl w:ilvl="1">
      <w:start w:val="1"/>
      <w:numFmt w:val="lowerLetter"/>
      <w:lvlText w:val="%2."/>
      <w:lvlJc w:val="left"/>
      <w:pPr>
        <w:ind w:left="2716" w:firstLine="2356"/>
      </w:pPr>
      <w:rPr>
        <w:vertAlign w:val="baseline"/>
      </w:rPr>
    </w:lvl>
    <w:lvl w:ilvl="2">
      <w:start w:val="1"/>
      <w:numFmt w:val="lowerRoman"/>
      <w:lvlText w:val="%3."/>
      <w:lvlJc w:val="right"/>
      <w:pPr>
        <w:ind w:left="3436" w:firstLine="3256"/>
      </w:pPr>
      <w:rPr>
        <w:vertAlign w:val="baseline"/>
      </w:rPr>
    </w:lvl>
    <w:lvl w:ilvl="3">
      <w:start w:val="1"/>
      <w:numFmt w:val="decimal"/>
      <w:lvlText w:val="%4."/>
      <w:lvlJc w:val="left"/>
      <w:pPr>
        <w:ind w:left="4156" w:firstLine="3796"/>
      </w:pPr>
      <w:rPr>
        <w:vertAlign w:val="baseline"/>
      </w:rPr>
    </w:lvl>
    <w:lvl w:ilvl="4">
      <w:start w:val="1"/>
      <w:numFmt w:val="lowerLetter"/>
      <w:lvlText w:val="%5."/>
      <w:lvlJc w:val="left"/>
      <w:pPr>
        <w:ind w:left="4876" w:firstLine="4516"/>
      </w:pPr>
      <w:rPr>
        <w:vertAlign w:val="baseline"/>
      </w:rPr>
    </w:lvl>
    <w:lvl w:ilvl="5">
      <w:start w:val="1"/>
      <w:numFmt w:val="lowerRoman"/>
      <w:lvlText w:val="%6."/>
      <w:lvlJc w:val="right"/>
      <w:pPr>
        <w:ind w:left="5596" w:firstLine="5416"/>
      </w:pPr>
      <w:rPr>
        <w:vertAlign w:val="baseline"/>
      </w:rPr>
    </w:lvl>
    <w:lvl w:ilvl="6">
      <w:start w:val="1"/>
      <w:numFmt w:val="decimal"/>
      <w:lvlText w:val="%7."/>
      <w:lvlJc w:val="left"/>
      <w:pPr>
        <w:ind w:left="6316" w:firstLine="5956"/>
      </w:pPr>
      <w:rPr>
        <w:vertAlign w:val="baseline"/>
      </w:rPr>
    </w:lvl>
    <w:lvl w:ilvl="7">
      <w:start w:val="1"/>
      <w:numFmt w:val="lowerLetter"/>
      <w:lvlText w:val="%8."/>
      <w:lvlJc w:val="left"/>
      <w:pPr>
        <w:ind w:left="7036" w:firstLine="6676"/>
      </w:pPr>
      <w:rPr>
        <w:vertAlign w:val="baseline"/>
      </w:rPr>
    </w:lvl>
    <w:lvl w:ilvl="8">
      <w:start w:val="1"/>
      <w:numFmt w:val="lowerRoman"/>
      <w:lvlText w:val="%9."/>
      <w:lvlJc w:val="right"/>
      <w:pPr>
        <w:ind w:left="7756" w:firstLine="7576"/>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