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SCI-790-2011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highlight w:val="yellow"/>
          <w:vertAlign w:val="baseline"/>
          <w:rtl w:val="0"/>
        </w:rPr>
        <w:t xml:space="preserve">ESTE ACUERDO NO FUE NOTIFICADO SE MODIFICO EN SESION 2737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Rector ai.</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Claudia Madrizova M, Vicerrectoría Vida Estudiantil y Serv. Académicos</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Marlene Ilama, Directora Centro Académico San José</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13 de octubre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2736, Artículo 9, del 13 de octubre del 2011. Modificación de la línea 73 del cuadro del inciso a del acuerdo de Sesión No. 2734, Artículo 9, del 30 de setiembre de 2011.  “Renovación Temporal de plazas Fondos FEES, para el año 2012”.</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memorando OPI-117-2011, del 02 de setiembre de 2011, suscrito por la M.A.U. Tatiana Fernández Martín, Directora de Oficina de Planificación Institucional y el M.A.E. Marcel Hernández Mora, Vicerrector de Administración, dirigido al Dr. Julio Calvo Alvarado, Presidente del Consejo Institucional, en el cual además de remitir la propuesta de Creación de Plazas para el año 2012, destaca que el documento de Renovación de Plazas Permanentes y Temporales para el año 2012, enviado por el M.A.E Jorge Mena al Consejo Institucional, mediante el memorando VAD-234-2011 del 03 de junio del presente año, no se modifica.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2734, Artículo 9, del 30 de setiembre de 2011, acordó la Renovación Temporal de plazas Fondos FEES, para el año 2012 y acordó en el inciso a, entre otros, la plaza SE006, cuyas características se describen en la línea 73 del cuadro, como sigue:</w:t>
      </w:r>
      <w:r w:rsidDel="00000000" w:rsidR="00000000" w:rsidRPr="00000000">
        <w:rPr>
          <w:rtl w:val="0"/>
        </w:rPr>
      </w:r>
    </w:p>
    <w:p w:rsidR="00000000" w:rsidDel="00000000" w:rsidP="00000000" w:rsidRDefault="00000000" w:rsidRPr="00000000">
      <w:pPr>
        <w:spacing w:after="0" w:before="0" w:line="240" w:lineRule="auto"/>
        <w:ind w:left="4956" w:firstLine="707.9999999999995"/>
        <w:contextualSpacing w:val="0"/>
      </w:pPr>
      <w:r w:rsidDel="00000000" w:rsidR="00000000" w:rsidRPr="00000000">
        <w:rPr>
          <w:rtl w:val="0"/>
        </w:rPr>
      </w:r>
    </w:p>
    <w:tbl>
      <w:tblPr>
        <w:tblStyle w:val="Table2"/>
        <w:bidi w:val="0"/>
        <w:tblW w:w="8931.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
        <w:gridCol w:w="709"/>
        <w:gridCol w:w="1478"/>
        <w:gridCol w:w="1287"/>
        <w:gridCol w:w="708"/>
        <w:gridCol w:w="851"/>
        <w:gridCol w:w="850"/>
        <w:gridCol w:w="567"/>
        <w:gridCol w:w="1134"/>
        <w:gridCol w:w="993"/>
        <w:tblGridChange w:id="0">
          <w:tblGrid>
            <w:gridCol w:w="354"/>
            <w:gridCol w:w="709"/>
            <w:gridCol w:w="1478"/>
            <w:gridCol w:w="1287"/>
            <w:gridCol w:w="708"/>
            <w:gridCol w:w="851"/>
            <w:gridCol w:w="850"/>
            <w:gridCol w:w="567"/>
            <w:gridCol w:w="1134"/>
            <w:gridCol w:w="993"/>
          </w:tblGrid>
        </w:tblGridChange>
      </w:tblGrid>
      <w:tr>
        <w:trPr>
          <w:trHeight w:val="220" w:hRule="atLeast"/>
        </w:trPr>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de plaza</w:t>
            </w:r>
            <w:r w:rsidDel="00000000" w:rsidR="00000000" w:rsidRPr="00000000">
              <w:rPr>
                <w:rtl w:val="0"/>
              </w:rPr>
            </w:r>
          </w:p>
        </w:tc>
        <w:tc>
          <w:tcPr>
            <w:shd w:fill="0070c0"/>
          </w:tcPr>
          <w:p w:rsidR="00000000" w:rsidDel="00000000" w:rsidP="00000000" w:rsidRDefault="00000000" w:rsidRPr="00000000">
            <w:pPr>
              <w:contextualSpacing w:val="0"/>
              <w:jc w:val="both"/>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Estado</w:t>
            </w:r>
            <w:r w:rsidDel="00000000" w:rsidR="00000000" w:rsidRPr="00000000">
              <w:rPr>
                <w:rtl w:val="0"/>
              </w:rPr>
            </w:r>
          </w:p>
        </w:tc>
        <w:tc>
          <w:tcPr>
            <w:shd w:fill="007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w:t>
            </w:r>
            <w:r w:rsidDel="00000000" w:rsidR="00000000" w:rsidRPr="00000000">
              <w:rPr>
                <w:rtl w:val="0"/>
              </w:rPr>
            </w:r>
          </w:p>
        </w:tc>
      </w:tr>
      <w:tr>
        <w:trPr>
          <w:trHeight w:val="22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73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SE006</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RH</w:t>
            </w:r>
            <w:r w:rsidDel="00000000" w:rsidR="00000000" w:rsidRPr="00000000">
              <w:rPr>
                <w:rtl w:val="0"/>
              </w:rPr>
            </w:r>
          </w:p>
        </w:tc>
      </w:tr>
    </w:tbl>
    <w:p w:rsidR="00000000" w:rsidDel="00000000" w:rsidP="00000000" w:rsidRDefault="00000000" w:rsidRPr="00000000">
      <w:pPr>
        <w:spacing w:after="0" w:before="0" w:line="240" w:lineRule="auto"/>
        <w:ind w:left="4956" w:firstLine="707.9999999999995"/>
        <w:contextualSpacing w:val="0"/>
      </w:pPr>
      <w:r w:rsidDel="00000000" w:rsidR="00000000" w:rsidRPr="00000000">
        <w:rPr>
          <w:rFonts w:ascii="Arial" w:cs="Arial" w:eastAsia="Arial" w:hAnsi="Arial"/>
          <w:b w:val="0"/>
          <w:sz w:val="16"/>
          <w:szCs w:val="16"/>
          <w:vertAlign w:val="baseline"/>
          <w:rtl w:val="0"/>
        </w:rPr>
        <w:t xml:space="preserve">(el resaltado no es del original)</w:t>
      </w:r>
    </w:p>
    <w:p w:rsidR="00000000" w:rsidDel="00000000" w:rsidP="00000000" w:rsidRDefault="00000000" w:rsidRPr="00000000">
      <w:pPr>
        <w:numPr>
          <w:ilvl w:val="0"/>
          <w:numId w:val="2"/>
        </w:numPr>
        <w:tabs>
          <w:tab w:val="left" w:pos="426"/>
        </w:tabs>
        <w:spacing w:after="0" w:lineRule="auto"/>
        <w:ind w:left="426" w:hanging="426"/>
        <w:contextualSpacing w:val="1"/>
        <w:jc w:val="both"/>
        <w:rPr/>
      </w:pPr>
      <w:r w:rsidDel="00000000" w:rsidR="00000000" w:rsidRPr="00000000">
        <w:rPr>
          <w:rFonts w:ascii="Arial" w:cs="Arial" w:eastAsia="Arial" w:hAnsi="Arial"/>
          <w:vertAlign w:val="baseline"/>
          <w:rtl w:val="0"/>
        </w:rPr>
        <w:t xml:space="preserve">Mediante correo electrónico, de 7 de octubre de 2011, el MAE. Marcel Hernández, Vicerrector de Administración, envía a la BQ. Grettel Castro Portuguez, Coordinadora de la Comisión de Planificación y Administración, consulta sobre los acuerdos de plazas 2012, dado que hay algunas diferencias con las propuestas enviadas al Consejo Institucional y lo aprobado por este órgano.</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431-2011, del 07 de octubre de 2011, analiza nuevamente las plazas, solicitadas y los acuerdos tomados en relación con plazas 2012, y encontró que efectivamente existen algunos errores y omisiones, específicamente en cuanto a la plaza SE006, pues el inciso a. del acuerdo indica claramente que se aprueban las plazas y la celda correspondiente al “estado” indica “Improbada”, habiendo consenso por parte de la Comisión, de que debe corregirse el error material, por lo que se dispone elevar la propuesta al pleno del Consejo Institucional.</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Modificar la línea 73 del cuadro consignado en el inciso a. del acuerdo de la Sesión No. 2734, Artículo 9, del 30 de setiembre de 2011.  “Renovación Temporal de plazas Fondos FEES, para el año 2012”, para que se lea: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3"/>
        <w:bidi w:val="0"/>
        <w:tblW w:w="8781.0" w:type="dxa"/>
        <w:jc w:val="left"/>
        <w:tblInd w:w="5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567"/>
        <w:gridCol w:w="993"/>
        <w:gridCol w:w="1417"/>
        <w:gridCol w:w="567"/>
        <w:gridCol w:w="851"/>
        <w:gridCol w:w="850"/>
        <w:gridCol w:w="701"/>
        <w:gridCol w:w="1134"/>
        <w:gridCol w:w="1276"/>
        <w:tblGridChange w:id="0">
          <w:tblGrid>
            <w:gridCol w:w="425"/>
            <w:gridCol w:w="567"/>
            <w:gridCol w:w="993"/>
            <w:gridCol w:w="1417"/>
            <w:gridCol w:w="567"/>
            <w:gridCol w:w="851"/>
            <w:gridCol w:w="850"/>
            <w:gridCol w:w="701"/>
            <w:gridCol w:w="1134"/>
            <w:gridCol w:w="1276"/>
          </w:tblGrid>
        </w:tblGridChange>
      </w:tblGrid>
      <w:tr>
        <w:trPr>
          <w:trHeight w:val="780" w:hRule="atLeast"/>
        </w:trPr>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w:t>
              <w:br w:type="textWrapping"/>
              <w:t xml:space="preserve">Plaza ↓</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Periodo</w:t>
              <w:br w:type="textWrapping"/>
              <w:t xml:space="preserve">(meses)</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Estado</w:t>
            </w:r>
            <w:r w:rsidDel="00000000" w:rsidR="00000000" w:rsidRPr="00000000">
              <w:rPr>
                <w:rtl w:val="0"/>
              </w:rPr>
            </w:r>
          </w:p>
        </w:tc>
        <w:tc>
          <w:tcPr>
            <w:shd w:fill="007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22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73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SE006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Profesional en Administración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23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18"/>
                <w:szCs w:val="18"/>
                <w:vertAlign w:val="baseline"/>
                <w:rtl w:val="0"/>
              </w:rPr>
              <w:t xml:space="preserve">RH</w:t>
            </w: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Recordar a la Administración que la modificación de cualquiera de las condiciones con las que se crean las plazas en este acuerdo, sólo puede hacerse por parte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2736, Artículo 9,  del  13 de octubre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