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SCI-890-2011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BQ. Grettel Castro P, Presidenta Consejo de Planificación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Yafanny Monge, Directora a.i.  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MS.c. Edgardo Vargas, Director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MSc. Marlene Ilama, Directora Centro Académico San José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24 de noviembre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2743, Artículo 9, del 24 de noviembre del 2011. Acciones Estratégicas para el Plan Estratégico Institucional</w:t>
            </w:r>
            <w:r w:rsidDel="00000000" w:rsidR="00000000" w:rsidRPr="00000000">
              <w:rPr>
                <w:rtl w:val="0"/>
              </w:rPr>
            </w:r>
          </w:p>
        </w:tc>
      </w:tr>
    </w:tbl>
    <w:p w:rsidR="00000000" w:rsidDel="00000000" w:rsidP="00000000" w:rsidRDefault="00000000" w:rsidRPr="00000000">
      <w:pPr>
        <w:spacing w:after="0" w:before="36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134" w:hanging="1298"/>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578"/>
        <w:jc w:val="both"/>
        <w:rPr/>
      </w:pPr>
      <w:r w:rsidDel="00000000" w:rsidR="00000000" w:rsidRPr="00000000">
        <w:rPr>
          <w:rFonts w:ascii="Arial" w:cs="Arial" w:eastAsia="Arial" w:hAnsi="Arial"/>
          <w:vertAlign w:val="baseline"/>
          <w:rtl w:val="0"/>
        </w:rPr>
        <w:t xml:space="preserve">El Consejo de Planificación Institucional en la Sesión Extraordinaria No. 024-2011, Artículo 2, del 21 de julio de 2011, aprobó la Metodología a emplear en la II Etapa: “Plan de Acción para la Implementación del Plan Estratégico Institucional 2011-2015.</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578"/>
        <w:jc w:val="both"/>
        <w:rPr/>
      </w:pPr>
      <w:r w:rsidDel="00000000" w:rsidR="00000000" w:rsidRPr="00000000">
        <w:rPr>
          <w:rFonts w:ascii="Arial" w:cs="Arial" w:eastAsia="Arial" w:hAnsi="Arial"/>
          <w:vertAlign w:val="baseline"/>
          <w:rtl w:val="0"/>
        </w:rPr>
        <w:t xml:space="preserve">El Consejo de Planificación Institucional en conjunto con la Oficina de Planificación Institucional y con la asesoría del señor Álvaro Cedeño Gómez, consultor externo, especialista en el área, realizaron un taller el 05 de agosto de 2011, en el que se generaron 227 acciones estratégicas con la participación del Rector, los Vicerrectores, los directores de escuelas y departamentos y los coordinadores de carreras de la Institución. Estas acciones se clasificaron en dos categorías, de mejoramiento (M) y de cambio (C) como se muestra en el siguiente cuadro: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2"/>
        <w:bidi w:val="0"/>
        <w:tblW w:w="9772.0" w:type="dxa"/>
        <w:jc w:val="left"/>
        <w:tblInd w:w="-70.0" w:type="dxa"/>
        <w:tblLayout w:type="fixed"/>
        <w:tblLook w:val="0000"/>
      </w:tblPr>
      <w:tblGrid>
        <w:gridCol w:w="784"/>
        <w:gridCol w:w="899"/>
        <w:gridCol w:w="770"/>
        <w:gridCol w:w="770"/>
        <w:gridCol w:w="770"/>
        <w:gridCol w:w="731"/>
        <w:gridCol w:w="811"/>
        <w:gridCol w:w="856"/>
        <w:gridCol w:w="813"/>
        <w:gridCol w:w="770"/>
        <w:gridCol w:w="643"/>
        <w:gridCol w:w="641"/>
        <w:gridCol w:w="514"/>
        <w:tblGridChange w:id="0">
          <w:tblGrid>
            <w:gridCol w:w="784"/>
            <w:gridCol w:w="899"/>
            <w:gridCol w:w="770"/>
            <w:gridCol w:w="770"/>
            <w:gridCol w:w="770"/>
            <w:gridCol w:w="731"/>
            <w:gridCol w:w="811"/>
            <w:gridCol w:w="856"/>
            <w:gridCol w:w="813"/>
            <w:gridCol w:w="770"/>
            <w:gridCol w:w="643"/>
            <w:gridCol w:w="641"/>
            <w:gridCol w:w="514"/>
          </w:tblGrid>
        </w:tblGridChange>
      </w:tblGrid>
      <w:tr>
        <w:trPr>
          <w:trHeight w:val="720" w:hRule="atLeast"/>
        </w:trPr>
        <w:tc>
          <w:tcPr>
            <w:vMerge w:val="restart"/>
            <w:tcBorders>
              <w:top w:color="000000" w:space="0" w:sz="4" w:val="single"/>
              <w:left w:color="000000" w:space="0" w:sz="4" w:val="single"/>
              <w:bottom w:color="000000" w:space="0" w:sz="4" w:val="single"/>
              <w:right w:color="000000" w:space="0" w:sz="4" w:val="single"/>
            </w:tcBorders>
            <w:shd w:fill="95b3d7"/>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Obj Estrat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Dirección Superior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Vic. Adm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VIESA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Tecnolog e Ing</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Cienc de la Tierra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Econ y Adm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Educ Técn y Mate </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0" w:val="nil"/>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TOTAL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6dde8"/>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6dde8"/>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95b3d7"/>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6 y 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7e4bc"/>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Grupo 10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shd w:fill="8db4e3"/>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6dde8"/>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6dde8"/>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16</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15</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8</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15</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15</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shd w:fill="95b3d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8db4e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d7e4b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227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2a1c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2a1c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108</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8b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5b8b7"/>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48%</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578"/>
        <w:jc w:val="both"/>
        <w:rPr/>
      </w:pPr>
      <w:r w:rsidDel="00000000" w:rsidR="00000000" w:rsidRPr="00000000">
        <w:rPr>
          <w:rFonts w:ascii="Arial" w:cs="Arial" w:eastAsia="Arial" w:hAnsi="Arial"/>
          <w:vertAlign w:val="baseline"/>
          <w:rtl w:val="0"/>
        </w:rPr>
        <w:t xml:space="preserve">El Consejo de Planificación Institucional realizó talleres en las siguientes fechas: 10 de agosto, 22 de agosto, 24 de agosto y 10 de octubre todos durante el año 2011, en los cuales fueron analizadas, revisadas e integradas las acciones estratégicas de cada Objetivo Estratégico. De este análisis se obtuvo una reducción de 159 acciones estratégicas, y se establecieron responsables, sin embargo se consideró conveniente que el Consejo de Rectoría, hiciera un nuevo análisis de la viabilidad de éstas.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578"/>
        <w:jc w:val="both"/>
        <w:rPr/>
      </w:pPr>
      <w:r w:rsidDel="00000000" w:rsidR="00000000" w:rsidRPr="00000000">
        <w:rPr>
          <w:rFonts w:ascii="Arial" w:cs="Arial" w:eastAsia="Arial" w:hAnsi="Arial"/>
          <w:vertAlign w:val="baseline"/>
          <w:rtl w:val="0"/>
        </w:rPr>
        <w:t xml:space="preserve">El Consejo de Rectoría, con la asesoría de la Oficina de Planificación Institucional,  realizó el análisis de impacto y viabilidad, así como la asignación de responsables para las 69 acciones estratégicas, que había depurado el Consejo de Planificación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720" w:hanging="578"/>
        <w:jc w:val="both"/>
        <w:rPr/>
      </w:pPr>
      <w:r w:rsidDel="00000000" w:rsidR="00000000" w:rsidRPr="00000000">
        <w:rPr>
          <w:rFonts w:ascii="Arial" w:cs="Arial" w:eastAsia="Arial" w:hAnsi="Arial"/>
          <w:vertAlign w:val="baseline"/>
          <w:rtl w:val="0"/>
        </w:rPr>
        <w:t xml:space="preserve">El Consejo de Planificación Institucional en Sesión Ordinaria 027-2011, del 7 de noviembre de 2011, realizó una última revisión de las acciones estratégicas priorizadas y dispuso elevar al Consejo Institucional la propuesta del Plan de Acción del Plan Estratégico Institucional, el cual contiene 68 acciones estratégicas, de las cuales 25 tienen mayor prioridad y están vinculadas con el Plan Anual Operativo 2012, 27 intermedias y 16 con la menor prioridad.</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las siguientes Acciones Estratégicas por Objetivo Estratégico, responsables y cronograma, para el Plan Estratégico Institucional:</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ACCIONES PRIORIDAD 9:</w:t>
      </w:r>
    </w:p>
    <w:tbl>
      <w:tblPr>
        <w:tblStyle w:val="Table3"/>
        <w:bidi w:val="0"/>
        <w:tblW w:w="977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
        <w:gridCol w:w="421"/>
        <w:gridCol w:w="1413"/>
        <w:gridCol w:w="1184"/>
        <w:gridCol w:w="1048"/>
        <w:gridCol w:w="1048"/>
        <w:gridCol w:w="1050"/>
        <w:gridCol w:w="573"/>
        <w:gridCol w:w="1253"/>
        <w:gridCol w:w="876"/>
        <w:tblGridChange w:id="0">
          <w:tblGrid>
            <w:gridCol w:w="906"/>
            <w:gridCol w:w="421"/>
            <w:gridCol w:w="1413"/>
            <w:gridCol w:w="1184"/>
            <w:gridCol w:w="1048"/>
            <w:gridCol w:w="1048"/>
            <w:gridCol w:w="1050"/>
            <w:gridCol w:w="573"/>
            <w:gridCol w:w="1253"/>
            <w:gridCol w:w="876"/>
          </w:tblGrid>
        </w:tblGridChange>
      </w:tblGrid>
      <w:tr>
        <w:trPr>
          <w:trHeight w:val="900" w:hRule="atLeast"/>
        </w:trPr>
        <w:tc>
          <w:tcPr>
            <w:vMerge w:val="restart"/>
            <w:shd w:fill="b8cce4"/>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Objetivo </w:t>
            </w:r>
            <w:r w:rsidDel="00000000" w:rsidR="00000000" w:rsidRPr="00000000">
              <w:rPr>
                <w:rFonts w:ascii="Arial" w:cs="Arial" w:eastAsia="Arial" w:hAnsi="Arial"/>
                <w:b w:val="1"/>
                <w:color w:val="000000"/>
                <w:sz w:val="14"/>
                <w:szCs w:val="14"/>
                <w:vertAlign w:val="baseline"/>
                <w:rtl w:val="0"/>
              </w:rPr>
              <w:t xml:space="preserve">Estratégico</w:t>
            </w:r>
            <w:r w:rsidDel="00000000" w:rsidR="00000000" w:rsidRPr="00000000">
              <w:rPr>
                <w:rtl w:val="0"/>
              </w:rPr>
            </w:r>
          </w:p>
        </w:tc>
        <w:tc>
          <w:tcPr>
            <w:gridSpan w:val="2"/>
            <w:vMerge w:val="restart"/>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Institucionales</w:t>
            </w:r>
            <w:r w:rsidDel="00000000" w:rsidR="00000000" w:rsidRPr="00000000">
              <w:rPr>
                <w:rtl w:val="0"/>
              </w:rPr>
            </w:r>
          </w:p>
        </w:tc>
        <w:tc>
          <w:tcPr>
            <w:gridSpan w:val="4"/>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RESPONSABLES Y CRONOGRAMA</w:t>
            </w:r>
            <w:r w:rsidDel="00000000" w:rsidR="00000000" w:rsidRPr="00000000">
              <w:rPr>
                <w:rtl w:val="0"/>
              </w:rPr>
            </w:r>
          </w:p>
        </w:tc>
        <w:tc>
          <w:tcPr>
            <w:vMerge w:val="restart"/>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PESO</w:t>
            </w:r>
            <w:r w:rsidDel="00000000" w:rsidR="00000000" w:rsidRPr="00000000">
              <w:rPr>
                <w:rtl w:val="0"/>
              </w:rPr>
            </w:r>
          </w:p>
        </w:tc>
        <w:tc>
          <w:tcPr>
            <w:vMerge w:val="restart"/>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 </w:t>
              <w:br w:type="textWrapping"/>
              <w:t xml:space="preserve">DIRECTO</w:t>
            </w:r>
            <w:r w:rsidDel="00000000" w:rsidR="00000000" w:rsidRPr="00000000">
              <w:rPr>
                <w:rtl w:val="0"/>
              </w:rPr>
            </w:r>
          </w:p>
        </w:tc>
        <w:tc>
          <w:tcPr>
            <w:vMerge w:val="restart"/>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COLABO-RADOR</w:t>
            </w:r>
            <w:r w:rsidDel="00000000" w:rsidR="00000000" w:rsidRPr="00000000">
              <w:rPr>
                <w:rtl w:val="0"/>
              </w:rPr>
            </w:r>
          </w:p>
        </w:tc>
      </w:tr>
      <w:tr>
        <w:trPr>
          <w:trHeight w:val="240" w:hRule="atLeast"/>
        </w:trPr>
        <w:tc>
          <w:tcPr>
            <w:vMerge w:val="continue"/>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shd w:fill="b8cce4"/>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2012</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2013</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2014</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2015</w:t>
            </w:r>
            <w:r w:rsidDel="00000000" w:rsidR="00000000" w:rsidRPr="00000000">
              <w:rPr>
                <w:rtl w:val="0"/>
              </w:rPr>
            </w:r>
          </w:p>
        </w:tc>
        <w:tc>
          <w:tcPr>
            <w:vMerge w:val="continue"/>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b8cce4"/>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20" w:hRule="atLeast"/>
        </w:trPr>
        <w:tc>
          <w:tcPr>
            <w:vMerge w:val="restart"/>
            <w:shd w:fill="fde9d9"/>
            <w:vAlign w:val="center"/>
          </w:tcPr>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b w:val="0"/>
                <w:color w:val="000000"/>
                <w:sz w:val="14"/>
                <w:szCs w:val="14"/>
              </w:rPr>
            </w:pPr>
            <w:r w:rsidDel="00000000" w:rsidR="00000000" w:rsidRPr="00000000">
              <w:rPr>
                <w:rFonts w:ascii="Arial" w:cs="Arial" w:eastAsia="Arial" w:hAnsi="Arial"/>
                <w:b w:val="1"/>
                <w:color w:val="000000"/>
                <w:sz w:val="14"/>
                <w:szCs w:val="14"/>
                <w:vertAlign w:val="baseline"/>
                <w:rtl w:val="0"/>
              </w:rPr>
              <w:t xml:space="preserve">Fortalecer los programas académicos en los campos de ciencia y  tecnología a nivel de pregrado, grado y posgrado.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4"/>
                <w:szCs w:val="14"/>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actividades institucionales que favorezcan el desarrollo de las habilidades sociales y competencias, de los y las estudiantes en su formación académica.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CASJ</w:t>
            </w:r>
            <w:r w:rsidDel="00000000" w:rsidR="00000000" w:rsidRPr="00000000">
              <w:rPr>
                <w:rtl w:val="0"/>
              </w:rPr>
            </w:r>
          </w:p>
        </w:tc>
      </w:tr>
      <w:tr>
        <w:trPr>
          <w:trHeight w:val="50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1.5</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Garantizar la pertinencia de los programas académicos.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un plan de acción para fortalecer los programas académicos de pregrado  en el país.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1.7</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Garantizar el apoyo a los procesos de acreditación y recreaditación de los programas.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y VIESA</w:t>
            </w:r>
            <w:r w:rsidDel="00000000" w:rsidR="00000000" w:rsidRPr="00000000">
              <w:rPr>
                <w:rtl w:val="0"/>
              </w:rPr>
            </w:r>
          </w:p>
        </w:tc>
      </w:tr>
      <w:tr>
        <w:trPr>
          <w:trHeight w:val="48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1.8</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Aumentar matrícula en las opciones académicas actuales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1.9</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Crear espacios físicos especializados y adecuados según los requerimientos de las carreras.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y OI</w:t>
            </w:r>
            <w:r w:rsidDel="00000000" w:rsidR="00000000" w:rsidRPr="00000000">
              <w:rPr>
                <w:rtl w:val="0"/>
              </w:rPr>
            </w:r>
          </w:p>
        </w:tc>
      </w:tr>
      <w:tr>
        <w:trPr>
          <w:trHeight w:val="48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1.10</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Crear espacios académicos de interacción entre las escuelas.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el número de aulas y laboratorios de uso compartido, para atender  las necesidades académicas.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r>
      <w:tr>
        <w:trPr>
          <w:trHeight w:val="720" w:hRule="atLeast"/>
        </w:trPr>
        <w:tc>
          <w:tcPr>
            <w:vMerge w:val="restart"/>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2. Mejorar el sistema de admisión, permanencia  exitosa y graduación de la Institución.</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2.2</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Aumentar las becas y los servicios estudiantiles.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 VAD, ViDa, VIE, SRSC y CASJ</w:t>
            </w:r>
            <w:r w:rsidDel="00000000" w:rsidR="00000000" w:rsidRPr="00000000">
              <w:rPr>
                <w:rtl w:val="0"/>
              </w:rPr>
            </w:r>
          </w:p>
        </w:tc>
      </w:tr>
      <w:tr>
        <w:trPr>
          <w:trHeight w:val="60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Establecer medidas de flexibilización curricular.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 SRSC  y CASJ</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2.4</w:t>
            </w:r>
            <w:r w:rsidDel="00000000" w:rsidR="00000000" w:rsidRPr="00000000">
              <w:rPr>
                <w:rtl w:val="0"/>
              </w:rPr>
            </w:r>
          </w:p>
        </w:tc>
        <w:tc>
          <w:tcPr>
            <w:tcBorders>
              <w:bottom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Establecer una estrategia institucional de atracción, selección  y permanencia de estudiantes que involucre a las escuelas.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SRSC  y CASJ</w:t>
            </w:r>
            <w:r w:rsidDel="00000000" w:rsidR="00000000" w:rsidRPr="00000000">
              <w:rPr>
                <w:rtl w:val="0"/>
              </w:rPr>
            </w:r>
          </w:p>
        </w:tc>
      </w:tr>
      <w:tr>
        <w:trPr>
          <w:trHeight w:val="3540" w:hRule="atLeast"/>
        </w:trPr>
        <w:tc>
          <w:tcPr>
            <w:vMerge w:val="restart"/>
            <w:shd w:fill="fde9d9"/>
            <w:vAlign w:val="center"/>
          </w:tcPr>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b w:val="0"/>
                <w:color w:val="000000"/>
                <w:sz w:val="14"/>
                <w:szCs w:val="14"/>
              </w:rPr>
            </w:pPr>
            <w:r w:rsidDel="00000000" w:rsidR="00000000" w:rsidRPr="00000000">
              <w:rPr>
                <w:rFonts w:ascii="Arial" w:cs="Arial" w:eastAsia="Arial" w:hAnsi="Arial"/>
                <w:b w:val="1"/>
                <w:color w:val="000000"/>
                <w:sz w:val="14"/>
                <w:szCs w:val="14"/>
                <w:vertAlign w:val="baseline"/>
                <w:rtl w:val="0"/>
              </w:rPr>
              <w:t xml:space="preserve">Robustecer  el vínculo de la Institución con la sociedad  en el marco del modelo del desarrollo sostenible a través de la investigación científica y tecnológica,  la extensión, la educación continua y la relación con los graduados. </w:t>
            </w:r>
            <w:r w:rsidDel="00000000" w:rsidR="00000000" w:rsidRPr="00000000">
              <w:rPr>
                <w:rtl w:val="0"/>
              </w:rPr>
            </w:r>
          </w:p>
        </w:tc>
        <w:tc>
          <w:tcPr>
            <w:tcBorders>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3.2</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Activar espacios institucionales de reflexión, pensamiento, acción que permitan identificar e implementar estrategias de trabajo académico hacia lo interno (acción endógena) y de respuesta hacia lo externo (acción exógena).</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left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OPI</w:t>
            </w:r>
            <w:r w:rsidDel="00000000" w:rsidR="00000000" w:rsidRPr="00000000">
              <w:rPr>
                <w:rtl w:val="0"/>
              </w:rPr>
            </w:r>
          </w:p>
        </w:tc>
      </w:tr>
      <w:tr>
        <w:trPr>
          <w:trHeight w:val="96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3.3</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Sistematizar los vínculos de relación formal e informal con diferentes actores del sector externo (productivo, gobierno, institucional, sectores sociales en general).</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120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3.4</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Sincronizar el Programa de Regionalización Interuniversitaria con los intereses, fortalezas y normativa institucional.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SC (Programa de Regionalización)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SC (Programa de Regionalización)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120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Mejorar los mecanismos de difusión y proyección nacional e internacional del quehacer académico institucional.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VIESA y Comunicación y Mercadeo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VIESA y ViDa, Comunicación y Mercadeo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VIESA y ViDa, Comunicación y Mercadeo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VIESA y ViDa, Comunicación y Mercadeo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VIESA y Comunicación y Mercadeo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48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3.8</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Implementar nuevas estrategias de actualización dirigidas a los egresados.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Escuelas</w:t>
            </w:r>
            <w:r w:rsidDel="00000000" w:rsidR="00000000" w:rsidRPr="00000000">
              <w:rPr>
                <w:rtl w:val="0"/>
              </w:rPr>
            </w:r>
          </w:p>
        </w:tc>
      </w:tr>
      <w:tr>
        <w:trPr>
          <w:trHeight w:val="7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3.10</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Mejorar la gestión de la cooperación internacional para apoyo de la academia.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r>
      <w:tr>
        <w:trPr>
          <w:trHeight w:val="760" w:hRule="atLeast"/>
        </w:trPr>
        <w:tc>
          <w:tcPr>
            <w:vMerge w:val="restart"/>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4. Fortalecer los procesos Académicos, mediante el mejoramiento continuo, el uso de tecnologías innovadoras, la internacionalización y el emprendedurismo.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4.1</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Llevar a la práctica el emprendedurismo como eje transversal.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280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4.2</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Ampliar el uso de tecnologías de información innovadoras que mejoren el proceso académico.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VIESA, VIE, OPI y  Centro de Cómputo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77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
        <w:gridCol w:w="7"/>
        <w:gridCol w:w="415"/>
        <w:gridCol w:w="1413"/>
        <w:gridCol w:w="948"/>
        <w:gridCol w:w="1179"/>
        <w:gridCol w:w="1179"/>
        <w:gridCol w:w="1018"/>
        <w:gridCol w:w="20"/>
        <w:gridCol w:w="555"/>
        <w:gridCol w:w="18"/>
        <w:gridCol w:w="1253"/>
        <w:gridCol w:w="5"/>
        <w:gridCol w:w="872"/>
        <w:tblGridChange w:id="0">
          <w:tblGrid>
            <w:gridCol w:w="890"/>
            <w:gridCol w:w="7"/>
            <w:gridCol w:w="415"/>
            <w:gridCol w:w="1413"/>
            <w:gridCol w:w="948"/>
            <w:gridCol w:w="1179"/>
            <w:gridCol w:w="1179"/>
            <w:gridCol w:w="1018"/>
            <w:gridCol w:w="20"/>
            <w:gridCol w:w="555"/>
            <w:gridCol w:w="18"/>
            <w:gridCol w:w="1253"/>
            <w:gridCol w:w="5"/>
            <w:gridCol w:w="872"/>
          </w:tblGrid>
        </w:tblGridChange>
      </w:tblGrid>
      <w:tr>
        <w:trPr>
          <w:trHeight w:val="900" w:hRule="atLeast"/>
        </w:trPr>
        <w:tc>
          <w:tcPr>
            <w:gridSpan w:val="2"/>
            <w:shd w:fill="b8cce4"/>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Objetivo </w:t>
            </w:r>
            <w:r w:rsidDel="00000000" w:rsidR="00000000" w:rsidRPr="00000000">
              <w:rPr>
                <w:rFonts w:ascii="Arial" w:cs="Arial" w:eastAsia="Arial" w:hAnsi="Arial"/>
                <w:b w:val="1"/>
                <w:color w:val="000000"/>
                <w:sz w:val="14"/>
                <w:szCs w:val="14"/>
                <w:vertAlign w:val="baseline"/>
                <w:rtl w:val="0"/>
              </w:rPr>
              <w:t xml:space="preserve">Estratégico</w:t>
            </w:r>
            <w:r w:rsidDel="00000000" w:rsidR="00000000" w:rsidRPr="00000000">
              <w:rPr>
                <w:rtl w:val="0"/>
              </w:rPr>
            </w:r>
          </w:p>
        </w:tc>
        <w:tc>
          <w:tcPr>
            <w:gridSpan w:val="2"/>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Institucionales</w:t>
            </w:r>
            <w:r w:rsidDel="00000000" w:rsidR="00000000" w:rsidRPr="00000000">
              <w:rPr>
                <w:rtl w:val="0"/>
              </w:rPr>
            </w:r>
          </w:p>
        </w:tc>
        <w:tc>
          <w:tcPr>
            <w:gridSpan w:val="5"/>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RESPONSABLES Y CRONOGRAMA</w:t>
            </w:r>
            <w:r w:rsidDel="00000000" w:rsidR="00000000" w:rsidRPr="00000000">
              <w:rPr>
                <w:rtl w:val="0"/>
              </w:rPr>
            </w:r>
          </w:p>
        </w:tc>
        <w:tc>
          <w:tcPr>
            <w:gridSpan w:val="2"/>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PESO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 </w:t>
              <w:br w:type="textWrapping"/>
              <w:t xml:space="preserve">DIRECTO</w:t>
            </w:r>
            <w:r w:rsidDel="00000000" w:rsidR="00000000" w:rsidRPr="00000000">
              <w:rPr>
                <w:rtl w:val="0"/>
              </w:rPr>
            </w:r>
          </w:p>
        </w:tc>
        <w:tc>
          <w:tcPr>
            <w:gridSpan w:val="2"/>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COLABO-RADOR</w:t>
            </w:r>
            <w:r w:rsidDel="00000000" w:rsidR="00000000" w:rsidRPr="00000000">
              <w:rPr>
                <w:rtl w:val="0"/>
              </w:rPr>
            </w:r>
          </w:p>
        </w:tc>
      </w:tr>
      <w:tr>
        <w:trPr>
          <w:trHeight w:val="1020" w:hRule="atLeast"/>
        </w:trPr>
        <w:tc>
          <w:tcPr>
            <w:vMerge w:val="restart"/>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Crear los mecanismos para identificar las necesidades del sector externo que propicien propuestas de investigación y extensión pertinentes.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r>
      <w:tr>
        <w:trPr>
          <w:trHeight w:val="182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5.5</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Establecer un programa institucional de divulgación externa  e interna, de los resultados de la investigación y de su quehacer científico y tecnológico.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Centro de Cómputo y Comunicación y Mercadeo</w:t>
            </w:r>
            <w:r w:rsidDel="00000000" w:rsidR="00000000" w:rsidRPr="00000000">
              <w:rPr>
                <w:rtl w:val="0"/>
              </w:rPr>
            </w:r>
          </w:p>
        </w:tc>
      </w:tr>
      <w:tr>
        <w:trPr>
          <w:trHeight w:val="3400" w:hRule="atLeast"/>
        </w:trPr>
        <w:tc>
          <w:tcPr>
            <w:vMerge w:val="restart"/>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6. Contar con procesos administrativos y de apoyo a la vida estudiantil ágiles, flexibles, oportunos y de calidad para el desarrollo de las  actividades académicas.</w:t>
            </w:r>
            <w:r w:rsidDel="00000000" w:rsidR="00000000" w:rsidRPr="00000000">
              <w:rPr>
                <w:rtl w:val="0"/>
              </w:rPr>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6.1</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Crear mecanismos de gestión para fortalecer los procesos de apoyo a la academia bajo una perspectiva enfocada al usuario.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VAD</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Rectoría, Vicerrectorías, Dirección de SRSC y CASJ</w:t>
            </w:r>
            <w:r w:rsidDel="00000000" w:rsidR="00000000" w:rsidRPr="00000000">
              <w:rPr>
                <w:rtl w:val="0"/>
              </w:rPr>
            </w:r>
          </w:p>
        </w:tc>
      </w:tr>
      <w:tr>
        <w:trPr>
          <w:trHeight w:val="114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6.3</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Utilizar los procesos de planificación institucional estratégica, táctica y operativa como instrumentos de gestión.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AIR, CI,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AIR, CI,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AIR, CI,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AIR, CI, Rectoría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AIR, CI,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Consejo de Rectoría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70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
        <w:gridCol w:w="362"/>
        <w:gridCol w:w="1443"/>
        <w:gridCol w:w="1312"/>
        <w:gridCol w:w="1984"/>
        <w:gridCol w:w="991"/>
        <w:gridCol w:w="995"/>
        <w:gridCol w:w="711"/>
        <w:gridCol w:w="993"/>
        <w:gridCol w:w="989"/>
        <w:tblGridChange w:id="0">
          <w:tblGrid>
            <w:gridCol w:w="922"/>
            <w:gridCol w:w="362"/>
            <w:gridCol w:w="1443"/>
            <w:gridCol w:w="1312"/>
            <w:gridCol w:w="1984"/>
            <w:gridCol w:w="991"/>
            <w:gridCol w:w="995"/>
            <w:gridCol w:w="711"/>
            <w:gridCol w:w="993"/>
            <w:gridCol w:w="989"/>
          </w:tblGrid>
        </w:tblGridChange>
      </w:tblGrid>
      <w:tr>
        <w:trPr>
          <w:trHeight w:val="900" w:hRule="atLeast"/>
        </w:trPr>
        <w:tc>
          <w:tcPr>
            <w:shd w:fill="b8cce4"/>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Objetivo </w:t>
            </w:r>
            <w:r w:rsidDel="00000000" w:rsidR="00000000" w:rsidRPr="00000000">
              <w:rPr>
                <w:rFonts w:ascii="Arial" w:cs="Arial" w:eastAsia="Arial" w:hAnsi="Arial"/>
                <w:b w:val="1"/>
                <w:color w:val="000000"/>
                <w:sz w:val="14"/>
                <w:szCs w:val="14"/>
                <w:vertAlign w:val="baseline"/>
                <w:rtl w:val="0"/>
              </w:rPr>
              <w:t xml:space="preserve">Estratégico</w:t>
            </w:r>
            <w:r w:rsidDel="00000000" w:rsidR="00000000" w:rsidRPr="00000000">
              <w:rPr>
                <w:rtl w:val="0"/>
              </w:rPr>
            </w:r>
          </w:p>
        </w:tc>
        <w:tc>
          <w:tcPr>
            <w:gridSpan w:val="2"/>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Institucionales</w:t>
            </w:r>
            <w:r w:rsidDel="00000000" w:rsidR="00000000" w:rsidRPr="00000000">
              <w:rPr>
                <w:rtl w:val="0"/>
              </w:rPr>
            </w:r>
          </w:p>
        </w:tc>
        <w:tc>
          <w:tcPr>
            <w:gridSpan w:val="4"/>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RESPONSABLES Y CRONOGRAMA</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PESO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 </w:t>
              <w:br w:type="textWrapping"/>
              <w:t xml:space="preserve">DIRECTO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COLABO-RADOR</w:t>
            </w:r>
            <w:r w:rsidDel="00000000" w:rsidR="00000000" w:rsidRPr="00000000">
              <w:rPr>
                <w:rtl w:val="0"/>
              </w:rPr>
            </w:r>
          </w:p>
        </w:tc>
      </w:tr>
      <w:tr>
        <w:trPr>
          <w:trHeight w:val="720" w:hRule="atLeast"/>
        </w:trPr>
        <w:tc>
          <w:tcPr>
            <w:vMerge w:val="restart"/>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8. Fortalecer  la incorporación de las tecnologías de información y comunicación  en el mejoramiento del quehacer académico y  las actividades de apoyo a la academia.</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8.1</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Efectuar una reingeniería en la estructura encargada de la administración de las tecnologías de información y comunicación.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Centro de Cómputo</w:t>
            </w:r>
            <w:r w:rsidDel="00000000" w:rsidR="00000000" w:rsidRPr="00000000">
              <w:rPr>
                <w:rtl w:val="0"/>
              </w:rPr>
            </w:r>
          </w:p>
        </w:tc>
      </w:tr>
      <w:tr>
        <w:trPr>
          <w:trHeight w:val="74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8.2</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Implantar el Plan de la virtualización de cursos de la oferta académica del ITCR.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080" w:hRule="atLeast"/>
        </w:trPr>
        <w:tc>
          <w:tcPr>
            <w:vMerge w:val="continue"/>
            <w:shd w:fill="fde9d9"/>
            <w:vAlign w:val="center"/>
          </w:tcPr>
          <w:p w:rsidR="00000000" w:rsidDel="00000000" w:rsidP="00000000" w:rsidRDefault="00000000" w:rsidRPr="00000000">
            <w:pPr>
              <w:contextualSpacing w:val="0"/>
              <w:jc w:val="both"/>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8.3</w:t>
            </w:r>
            <w:r w:rsidDel="00000000" w:rsidR="00000000" w:rsidRPr="00000000">
              <w:rPr>
                <w:rtl w:val="0"/>
              </w:rPr>
            </w:r>
          </w:p>
        </w:tc>
        <w:tc>
          <w:tcPr>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Desarrollar aplicaciones tecnológicas complementarias para la atracción, selección e ingreso estudiantil.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ViDa,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440" w:hRule="atLeast"/>
        </w:trPr>
        <w:tc>
          <w:tcPr>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9. Aumentar la atracción de recursos financieros  complementarios al FEES.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9.2</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Implantar una estrategia que genere nuevas unidades productivas y que fortalezcan las ya existentes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Sede Regional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Sede Regional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Sede Regional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Sede Regional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Sede Regional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ACCIONES PRIORIDAD MENOR QUE 9, MAYOR QUE 6</w:t>
      </w:r>
    </w:p>
    <w:tbl>
      <w:tblPr>
        <w:tblStyle w:val="Table6"/>
        <w:bidi w:val="0"/>
        <w:tblW w:w="10637.0" w:type="dxa"/>
        <w:jc w:val="left"/>
        <w:tblInd w:w="-5.0" w:type="dxa"/>
        <w:tblLayout w:type="fixed"/>
        <w:tblLook w:val="0000"/>
      </w:tblPr>
      <w:tblGrid>
        <w:gridCol w:w="1277"/>
        <w:gridCol w:w="491"/>
        <w:gridCol w:w="2206"/>
        <w:gridCol w:w="851"/>
        <w:gridCol w:w="1134"/>
        <w:gridCol w:w="992"/>
        <w:gridCol w:w="992"/>
        <w:gridCol w:w="709"/>
        <w:gridCol w:w="992"/>
        <w:gridCol w:w="993"/>
        <w:tblGridChange w:id="0">
          <w:tblGrid>
            <w:gridCol w:w="1277"/>
            <w:gridCol w:w="491"/>
            <w:gridCol w:w="2206"/>
            <w:gridCol w:w="851"/>
            <w:gridCol w:w="1134"/>
            <w:gridCol w:w="992"/>
            <w:gridCol w:w="992"/>
            <w:gridCol w:w="709"/>
            <w:gridCol w:w="992"/>
            <w:gridCol w:w="993"/>
          </w:tblGrid>
        </w:tblGridChange>
      </w:tblGrid>
      <w:tr>
        <w:trPr>
          <w:trHeight w:val="900" w:hRule="atLeast"/>
        </w:trPr>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Objetivo </w:t>
            </w:r>
            <w:r w:rsidDel="00000000" w:rsidR="00000000" w:rsidRPr="00000000">
              <w:rPr>
                <w:rFonts w:ascii="Arial" w:cs="Arial" w:eastAsia="Arial" w:hAnsi="Arial"/>
                <w:b w:val="1"/>
                <w:color w:val="000000"/>
                <w:sz w:val="14"/>
                <w:szCs w:val="14"/>
                <w:vertAlign w:val="baseline"/>
                <w:rtl w:val="0"/>
              </w:rPr>
              <w:t xml:space="preserve">Estratégico</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Institucionales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RESPONSABLES Y CRONOGRAMA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PESO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 </w:t>
              <w:br w:type="textWrapping"/>
              <w:t xml:space="preserve">DIRECTO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COLABO-RADOR</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8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1. Fortalecer los programas académicos en los campos de ciencia y tecnología a nivel de pregrado, grado y posgrado.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la investigación en programas de posgrado.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10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la oferta  y la cobertura de programas académicos de grado y posgrado para el desarrollo y la aplicación de la ciencia y tecnología.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2280" w:hRule="atLeast"/>
        </w:trPr>
        <w:tc>
          <w:tcPr>
            <w:tcBorders>
              <w:top w:color="000000" w:space="0" w:sz="0" w:val="nil"/>
              <w:left w:color="000000" w:space="0" w:sz="4" w:val="single"/>
              <w:bottom w:color="000000" w:space="0" w:sz="0" w:val="nil"/>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2. Mejorar el sistema de admisión, permanencia  exitosa y graduación de la Institución.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Implementar un programa de nivelación  y  acompañamiento  para estudiantes de primer ingreso en condición de riesgo.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w:t>
            </w:r>
            <w:r w:rsidDel="00000000" w:rsidR="00000000" w:rsidRPr="00000000">
              <w:rPr>
                <w:rtl w:val="0"/>
              </w:rPr>
            </w:r>
          </w:p>
        </w:tc>
      </w:tr>
      <w:tr>
        <w:trPr>
          <w:trHeight w:val="1540" w:hRule="atLeast"/>
        </w:trPr>
        <w:tc>
          <w:tcPr>
            <w:vMerge w:val="restart"/>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3. Robustecer  el vínculo de la Institución con la sociedad  en el marco del modelo del desarrollo sostenible a través de la investigación científica y tecnológica, la extensión, la educación continua y la relación con los graduados.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las acciones de extensión,</w:t>
            </w:r>
            <w:r w:rsidDel="00000000" w:rsidR="00000000" w:rsidRPr="00000000">
              <w:rPr>
                <w:rFonts w:ascii="Arial" w:cs="Arial" w:eastAsia="Arial" w:hAnsi="Arial"/>
                <w:color w:val="ff0000"/>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transferencia tecnológica e innovación como mecanismos para promover el desarrollo económico y social del país.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VIESA y 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VIESA y 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VIESA y 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VIESA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ViDa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VIESA</w:t>
            </w:r>
            <w:r w:rsidDel="00000000" w:rsidR="00000000" w:rsidRPr="00000000">
              <w:rPr>
                <w:rtl w:val="0"/>
              </w:rPr>
            </w:r>
          </w:p>
        </w:tc>
      </w:tr>
      <w:tr>
        <w:trPr>
          <w:trHeight w:val="120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Flexibilizar la recepción, ejecución y evaluación de las propuestas de investigación y extensión, que permitan captar oportunidades de financiamiento de sectores nacionales y entidades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r>
      <w:tr>
        <w:trPr>
          <w:trHeight w:val="96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3.11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Analizar la viabilidad para la conversión de instancias existentes en nuevos Centros, Sedes o Campus Tecnológicos.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Rectoríay AIR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AIR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AIR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AIR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AIR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VIE,ViDa y OPI</w:t>
            </w:r>
            <w:r w:rsidDel="00000000" w:rsidR="00000000" w:rsidRPr="00000000">
              <w:rPr>
                <w:rtl w:val="0"/>
              </w:rPr>
            </w:r>
          </w:p>
        </w:tc>
      </w:tr>
      <w:tr>
        <w:trPr>
          <w:trHeight w:val="254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Mejorar el sistema de selección de propuestas de proyectos y la evaluación de proyectos de investigación y extensión.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226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Brindar  un acompañamiento integral al investigador o extensionista a través de la articulación de las diferentes unidades institucionales de apoyo.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r>
      <w:tr>
        <w:trPr>
          <w:trHeight w:val="72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la generación de productos de calidad de la investigación y la extensión.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60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las actividades de investigación con iniciativa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w:t>
            </w:r>
            <w:r w:rsidDel="00000000" w:rsidR="00000000" w:rsidRPr="00000000">
              <w:rPr>
                <w:rtl w:val="0"/>
              </w:rPr>
            </w:r>
          </w:p>
        </w:tc>
      </w:tr>
      <w:tr>
        <w:trPr>
          <w:trHeight w:val="120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Instaurar un mecanismo que permita el aumento de proyectos y acciones de investigación y extensión con enfoques multidisciplinarios, interdisciplinarios y transdisciplinarios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VIESA</w:t>
            </w:r>
            <w:r w:rsidDel="00000000" w:rsidR="00000000" w:rsidRPr="00000000">
              <w:rPr>
                <w:rtl w:val="0"/>
              </w:rPr>
            </w:r>
          </w:p>
        </w:tc>
      </w:tr>
      <w:tr>
        <w:trPr>
          <w:trHeight w:val="1420" w:hRule="atLeast"/>
        </w:trPr>
        <w:tc>
          <w:tcPr>
            <w:vMerge w:val="restart"/>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6. Contar con procesos administrativos y de apoyo a la vida estudiantil ágiles, flexibles, oportunos y de calidad para el desarrollo de las  actividades académicas.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Establecer mecanismos  que permitan la actualización de la normativa institucional en un tiempo oportuno.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OPI, Secretaría del CI y Directorio de la AIR; Asesoría Legal</w:t>
            </w:r>
            <w:r w:rsidDel="00000000" w:rsidR="00000000" w:rsidRPr="00000000">
              <w:rPr>
                <w:rtl w:val="0"/>
              </w:rPr>
            </w:r>
          </w:p>
        </w:tc>
      </w:tr>
      <w:tr>
        <w:trPr>
          <w:trHeight w:val="72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Poner en marcha el modelo de Gestión de Calidad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Consejo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Elaborar un estudio integral de la capacidad instalada.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VAD,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VAD,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VIESA, VAD,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OI</w:t>
            </w:r>
            <w:r w:rsidDel="00000000" w:rsidR="00000000" w:rsidRPr="00000000">
              <w:rPr>
                <w:rtl w:val="0"/>
              </w:rPr>
            </w:r>
          </w:p>
        </w:tc>
      </w:tr>
      <w:tr>
        <w:trPr>
          <w:trHeight w:val="120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Mejorar la eficiencia y la eficacia en el uso de los recursos.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CI, Rectoría, Vicerrectorías, Dirección de SRSC y CASJ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CI, Rectoría, Vicerrectorías, Dirección de SRSC y CASJ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CI, Rectoría, Vicerrectorías, Dirección de SRSC y CASJ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CI, Rectoría, Vicerrectorías, Dirección de SRSC y CASJ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CI, Rectoría, Vicerrectorías, Dirección de SRSC y CASJ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1440" w:hRule="atLeast"/>
        </w:trPr>
        <w:tc>
          <w:tcPr>
            <w:vMerge w:val="restart"/>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7. Desarrollar el talento humano orientado hacia la excelencia académica  promoviendo enfoques interdisciplinarios, multidisciplinarios y transdisciplinarios.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un plan de formación y desarrollo del talento humano orientados a la investigación, la extensión, la docencia y el apoyo a la academia.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CI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 y CI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Comité de Becas </w:t>
            </w:r>
            <w:r w:rsidDel="00000000" w:rsidR="00000000" w:rsidRPr="00000000">
              <w:rPr>
                <w:rtl w:val="0"/>
              </w:rPr>
            </w:r>
          </w:p>
        </w:tc>
      </w:tr>
      <w:tr>
        <w:trPr>
          <w:trHeight w:val="96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Dirigir esfuerzos para que la actividad académica se oriente en áreas interdisciplinarias, multidisciplinarias y transdisciplinarias.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el  Modelo del Gestión del Talento Humano basado en competencias laborales.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Rectoría, VIESA, VIE, ViDa, Dirección de SRSC y CASJ</w:t>
            </w:r>
            <w:r w:rsidDel="00000000" w:rsidR="00000000" w:rsidRPr="00000000">
              <w:rPr>
                <w:rtl w:val="0"/>
              </w:rPr>
            </w:r>
          </w:p>
        </w:tc>
      </w:tr>
      <w:tr>
        <w:trPr>
          <w:trHeight w:val="156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8. Fortalecer  la incorporación de las tecnologías de información y comunicación  en el mejoramiento del quehacer académico y  las actividades de apoyo a la academia.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Implantar acciones alternativas que permitan satisfacer el crecimiento de la demanda interna de servicios.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VIESA y 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VIE, Rectoría, Dirección de SRSC y CASJ</w:t>
            </w:r>
            <w:r w:rsidDel="00000000" w:rsidR="00000000" w:rsidRPr="00000000">
              <w:rPr>
                <w:rtl w:val="0"/>
              </w:rPr>
            </w:r>
          </w:p>
        </w:tc>
      </w:tr>
      <w:tr>
        <w:trPr>
          <w:trHeight w:val="15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Impulsar soluciones tecnológicas con enfoques amigables para la mejora ambiental.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VIE, Rectoría, Dirección de SRSC y CASJ</w:t>
            </w:r>
            <w:r w:rsidDel="00000000" w:rsidR="00000000" w:rsidRPr="00000000">
              <w:rPr>
                <w:rtl w:val="0"/>
              </w:rPr>
            </w:r>
          </w:p>
        </w:tc>
      </w:tr>
      <w:tr>
        <w:trPr>
          <w:trHeight w:val="182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9. Aumentar la atracción de recursos financieros  complementarios al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4"/>
                <w:szCs w:val="14"/>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ingresos vía fondos internacionales, financiamiento bancario y leyes 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VIE y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r>
      <w:tr>
        <w:trPr>
          <w:trHeight w:val="13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Revisar los costos del crédito y el cobro de derechos de estudio.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 y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VIESA</w:t>
            </w:r>
            <w:r w:rsidDel="00000000" w:rsidR="00000000" w:rsidRPr="00000000">
              <w:rPr>
                <w:rtl w:val="0"/>
              </w:rPr>
            </w:r>
          </w:p>
        </w:tc>
      </w:tr>
      <w:tr>
        <w:trPr>
          <w:trHeight w:val="100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un sistema de análisis de costos que fundamente el cobro de bienes y servicios que ofrece el ITCR.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 y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ViDa y VIESA</w:t>
            </w:r>
            <w:r w:rsidDel="00000000" w:rsidR="00000000" w:rsidRPr="00000000">
              <w:rPr>
                <w:rtl w:val="0"/>
              </w:rPr>
            </w:r>
          </w:p>
        </w:tc>
      </w:tr>
      <w:tr>
        <w:trPr>
          <w:trHeight w:val="2960" w:hRule="atLeast"/>
        </w:trPr>
        <w:tc>
          <w:tcPr>
            <w:tcBorders>
              <w:top w:color="000000" w:space="0" w:sz="0" w:val="nil"/>
              <w:left w:color="000000" w:space="0" w:sz="4" w:val="single"/>
              <w:bottom w:color="000000" w:space="0" w:sz="0" w:val="nil"/>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10. Mejorar los procesos de negociación  del FEES que permitan contar oportunamente con más recursos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10.1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una estrategia de seguimiento del  cumplimiento de los acuerdos de la negociación del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740" w:hRule="atLeast"/>
        </w:trPr>
        <w:tc>
          <w:tcPr>
            <w:vMerge w:val="restart"/>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11. Incrementar  el acceso a  los  recursos financieros provenientes del Fondo del 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11.1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la participación del ITCR en los proyectos,  programas y acciones que actualmente se financian con el Fondo del Sistema.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r>
        <w:trPr>
          <w:trHeight w:val="1080" w:hRule="atLeast"/>
        </w:trPr>
        <w:tc>
          <w:tcPr>
            <w:vMerge w:val="continue"/>
            <w:tcBorders>
              <w:top w:color="000000" w:space="0" w:sz="4" w:val="single"/>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11.2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Mejorar la coordinación interuniversitaria para el desarrollo de proyectos y programas financiados con el Fondo del Sistema.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Consejo de 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ACCIONES PRIORIDAD MENOR QUE 6</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7"/>
        <w:bidi w:val="0"/>
        <w:tblW w:w="10637.0" w:type="dxa"/>
        <w:jc w:val="left"/>
        <w:tblInd w:w="-5.0" w:type="dxa"/>
        <w:tblLayout w:type="fixed"/>
        <w:tblLook w:val="0000"/>
      </w:tblPr>
      <w:tblGrid>
        <w:gridCol w:w="1511"/>
        <w:gridCol w:w="460"/>
        <w:gridCol w:w="2003"/>
        <w:gridCol w:w="851"/>
        <w:gridCol w:w="1134"/>
        <w:gridCol w:w="992"/>
        <w:gridCol w:w="992"/>
        <w:gridCol w:w="709"/>
        <w:gridCol w:w="992"/>
        <w:gridCol w:w="993"/>
        <w:tblGridChange w:id="0">
          <w:tblGrid>
            <w:gridCol w:w="1511"/>
            <w:gridCol w:w="460"/>
            <w:gridCol w:w="2003"/>
            <w:gridCol w:w="851"/>
            <w:gridCol w:w="1134"/>
            <w:gridCol w:w="992"/>
            <w:gridCol w:w="992"/>
            <w:gridCol w:w="709"/>
            <w:gridCol w:w="992"/>
            <w:gridCol w:w="993"/>
          </w:tblGrid>
        </w:tblGridChange>
      </w:tblGrid>
      <w:tr>
        <w:trPr>
          <w:trHeight w:val="900" w:hRule="atLeast"/>
        </w:trPr>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Objetivo Estratégico</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Institucionales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RESPONSABLES Y CRONOGRAMA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PESO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RESP </w:t>
              <w:br w:type="textWrapping"/>
              <w:t xml:space="preserve">DIRECTO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COLABO-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4"/>
                <w:szCs w:val="14"/>
                <w:vertAlign w:val="baseline"/>
                <w:rtl w:val="0"/>
              </w:rPr>
              <w:t xml:space="preserve">RADOR</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2015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8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1. Fortalecer los programas académicos en los campos de ciencia y tecnología a nivel de pregrado, grado y posgrado.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4"/>
                <w:szCs w:val="14"/>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Brindar las condiciones requeridas para consolidar el Sistema de Posgrado.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r>
      <w:tr>
        <w:trPr>
          <w:trHeight w:val="10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1.12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la integración de la extensión e  investigación  y su relación con el quehacer docente.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r>
      <w:tr>
        <w:trPr>
          <w:trHeight w:val="2280" w:hRule="atLeast"/>
        </w:trPr>
        <w:tc>
          <w:tcPr>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2. Mejorar el sistema de admisión, permanencia  exitosa y graduación de la Institución.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Desarrollar herramientas virtuales para la verificación de los perfiles de entrada  por carrera.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154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3. Robustecer  el vínculo de la Institución con la sociedad  en el marco del modelo del desarrollo sostenible a través de la investigación científica y tecnológica, la extensión, la educación continua y la relación con los graduados.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Consolidar los Ejes de Conocimiento Estratégico como marco orientador del quehacer académico.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AIR, ViDa, VIESA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VIESA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AIR, ViDa, VIESA y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72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Institucionalizar los programas de seguimiento de graduados en todas las Escuelas integrando los sistemas existentes.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OPI</w:t>
            </w:r>
            <w:r w:rsidDel="00000000" w:rsidR="00000000" w:rsidRPr="00000000">
              <w:rPr>
                <w:rtl w:val="0"/>
              </w:rPr>
            </w:r>
          </w:p>
        </w:tc>
      </w:tr>
      <w:tr>
        <w:trPr>
          <w:trHeight w:val="2700" w:hRule="atLeast"/>
        </w:trPr>
        <w:tc>
          <w:tcPr>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4. Fortalecer los procesos Académicos, mediante el mejoramiento continuo, el uso de tecnologías innovadoras, la internacionalización y el emprendedurismo.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Implantar un programa de internacionalización.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y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3060" w:hRule="atLeast"/>
        </w:trPr>
        <w:tc>
          <w:tcPr>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4"/>
                <w:szCs w:val="14"/>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Incentivar a los investigadores o extensionistas experimentados que integren a investigadores o extensionistas noveles en sus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2580" w:hRule="atLeast"/>
        </w:trPr>
        <w:tc>
          <w:tcPr>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6. Contar con procesos administrativos y de apoyo a la vida estudiantil ágiles, flexibles, oportunos y de calidad para el desarrollo de las  actividades académicas.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Implantar procesos administrativos que  permitan la puesta en marcha de medidas de flexibilidad curricular.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w:t>
            </w:r>
            <w:r w:rsidDel="00000000" w:rsidR="00000000" w:rsidRPr="00000000">
              <w:rPr>
                <w:rtl w:val="0"/>
              </w:rPr>
            </w:r>
          </w:p>
        </w:tc>
      </w:tr>
      <w:tr>
        <w:trPr>
          <w:trHeight w:val="2880" w:hRule="atLeast"/>
        </w:trPr>
        <w:tc>
          <w:tcPr>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7. Desarrollar el talento humano orientado hacia la excelencia académica  promoviendo enfoques interdisciplinarios, multidisciplinarios y transdisciplinarios.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Crear un sistema de incentivos para atraer académicos con grado de doctor.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r>
      <w:tr>
        <w:trPr>
          <w:trHeight w:val="114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4"/>
                <w:szCs w:val="14"/>
                <w:vertAlign w:val="baseline"/>
                <w:rtl w:val="0"/>
              </w:rPr>
              <w:t xml:space="preserve">8. Fortalecer  la incorporación de las tecnologías de información y comunicación  en el mejoramiento del quehacer académico y  las actividades de apoyo a la academia.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Generar nuevas aplicaciones tecnológicas con software libre que apoyen la gestión académica y la mejora de la efectividad  de las labores administrativas.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Consejo de Rectoría</w:t>
            </w:r>
            <w:r w:rsidDel="00000000" w:rsidR="00000000" w:rsidRPr="00000000">
              <w:rPr>
                <w:rtl w:val="0"/>
              </w:rPr>
            </w:r>
          </w:p>
        </w:tc>
      </w:tr>
      <w:tr>
        <w:trPr>
          <w:trHeight w:val="16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la automatización de los procesos y servicios de apoyo a la academia, a través de la  integración de los sistemas existentes  para facilitar la toma de decisiones.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VIESA,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VIESA,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VIESA,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VIESA,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VAD, VIESA,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Rectoría, Centro de Computo, Vicerrectorías, Dirección de SRSC y CASJ, OPI</w:t>
            </w:r>
            <w:r w:rsidDel="00000000" w:rsidR="00000000" w:rsidRPr="00000000">
              <w:rPr>
                <w:rtl w:val="0"/>
              </w:rPr>
            </w:r>
          </w:p>
        </w:tc>
      </w:tr>
      <w:tr>
        <w:trPr>
          <w:trHeight w:val="142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Fortalecer los espacios, las facilidades y la infraestructura  de la investigación, extensión, innovación y vinculación con  sociedad.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Dirección de SRSC, CASJ,VIESA</w:t>
            </w:r>
            <w:r w:rsidDel="00000000" w:rsidR="00000000" w:rsidRPr="00000000">
              <w:rPr>
                <w:rtl w:val="0"/>
              </w:rPr>
            </w:r>
          </w:p>
        </w:tc>
      </w:tr>
      <w:tr>
        <w:trPr>
          <w:trHeight w:val="2780" w:hRule="atLeast"/>
        </w:trPr>
        <w:tc>
          <w:tcPr>
            <w:vMerge w:val="restart"/>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4"/>
                <w:szCs w:val="14"/>
                <w:vertAlign w:val="baseline"/>
                <w:rtl w:val="0"/>
              </w:rPr>
              <w:t xml:space="preserve">9. Aumentar la atracción de recursos financieros  complementarios al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Incrementar las acciones de vinculación que generan recursos.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Dirección de SRSC y CASJ</w:t>
            </w:r>
            <w:r w:rsidDel="00000000" w:rsidR="00000000" w:rsidRPr="00000000">
              <w:rPr>
                <w:rtl w:val="0"/>
              </w:rPr>
            </w:r>
          </w:p>
        </w:tc>
      </w:tr>
      <w:tr>
        <w:trPr>
          <w:trHeight w:val="72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Generar fondos de becas estudiantiles con aportes de egresados, funcionarios y empresarios.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ViDa y VAD</w:t>
            </w:r>
            <w:r w:rsidDel="00000000" w:rsidR="00000000" w:rsidRPr="00000000">
              <w:rPr>
                <w:rtl w:val="0"/>
              </w:rPr>
            </w:r>
          </w:p>
        </w:tc>
      </w:tr>
      <w:tr>
        <w:trPr>
          <w:trHeight w:val="480" w:hRule="atLeast"/>
        </w:trPr>
        <w:tc>
          <w:tcPr>
            <w:vMerge w:val="continue"/>
            <w:tcBorders>
              <w:top w:color="000000" w:space="0" w:sz="0" w:val="nil"/>
              <w:left w:color="000000" w:space="0" w:sz="4" w:val="single"/>
              <w:bottom w:color="000000" w:space="0" w:sz="4" w:val="single"/>
              <w:right w:color="000000" w:space="0" w:sz="4" w:val="single"/>
            </w:tcBorders>
            <w:shd w:fill="fde9d9"/>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Analizar la viabilidad de desarrollar empresas auxiliares.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Consejo de Rectoría</w:t>
            </w:r>
            <w:r w:rsidDel="00000000" w:rsidR="00000000" w:rsidRPr="00000000">
              <w:rPr>
                <w:rtl w:val="0"/>
              </w:rPr>
            </w:r>
          </w:p>
        </w:tc>
      </w:tr>
    </w:tbl>
    <w:p w:rsidR="00000000" w:rsidDel="00000000" w:rsidP="00000000" w:rsidRDefault="00000000" w:rsidRPr="00000000">
      <w:pPr>
        <w:spacing w:after="0" w:before="0" w:line="240" w:lineRule="auto"/>
        <w:ind w:right="1332"/>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153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147320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2743, Artículo 9, del 24 de noviembre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93980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