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SCI-970-2011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498.0" w:type="dxa"/>
              <w:jc w:val="left"/>
              <w:tblLayout w:type="fixed"/>
              <w:tblLook w:val="0000"/>
            </w:tblPr>
            <w:tblGrid>
              <w:gridCol w:w="9498"/>
              <w:tblGridChange w:id="0">
                <w:tblGrid>
                  <w:gridCol w:w="9498"/>
                </w:tblGrid>
              </w:tblGridChange>
            </w:tblGrid>
            <w:tr>
              <w:tc>
                <w:tcPr/>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Dr. Julio  C. Calvo Alvarado, Rector </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M.A.E. Yaffany Monge D’Avanzo, Directora a.i. Oficina de Planificación Institucional</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48"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left" w:pos="1005"/>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ind w:left="18" w:firstLine="0"/>
              <w:contextualSpacing w:val="0"/>
              <w:jc w:val="both"/>
            </w:pPr>
            <w:r w:rsidDel="00000000" w:rsidR="00000000" w:rsidRPr="00000000">
              <w:rPr>
                <w:rFonts w:ascii="Arial" w:cs="Arial" w:eastAsia="Arial" w:hAnsi="Arial"/>
                <w:b w:val="1"/>
                <w:sz w:val="22"/>
                <w:szCs w:val="22"/>
                <w:vertAlign w:val="baseline"/>
                <w:rtl w:val="0"/>
              </w:rPr>
              <w:t xml:space="preserve">15 de diciembre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2746, Artículo 11, del 15 de diciembre del 2011. Modificación del acuerdo tomado en Sesión Ordinaria No. 2738, Artículo 10, incisos b, del 20 de octubre de 2011.</w:t>
            </w:r>
            <w:r w:rsidDel="00000000" w:rsidR="00000000" w:rsidRPr="00000000">
              <w:rPr>
                <w:rtl w:val="0"/>
              </w:rPr>
            </w:r>
          </w:p>
        </w:tc>
      </w:tr>
    </w:tbl>
    <w:p w:rsidR="00000000" w:rsidDel="00000000" w:rsidP="00000000" w:rsidRDefault="00000000" w:rsidRPr="00000000">
      <w:pPr>
        <w:spacing w:after="0" w:before="36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2738, Artículo 10, del 20 de octubre de 2011, aprueba en los incisos b, lo siguiente:</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spacing w:before="0" w:lineRule="auto"/>
        <w:ind w:left="851" w:hanging="425"/>
        <w:contextualSpacing w:val="0"/>
        <w:jc w:val="both"/>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i w:val="1"/>
          <w:vertAlign w:val="baseline"/>
          <w:rtl w:val="0"/>
        </w:rPr>
        <w:t xml:space="preserve">Aprobar en los diferentes programas de la institución la renovación de 96 Plazas Temporales para el año 2012, que corresponden según programa a:</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tbl>
      <w:tblPr>
        <w:tblStyle w:val="Table3"/>
        <w:bidi w:val="0"/>
        <w:tblW w:w="8757.000000000002"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8"/>
        <w:gridCol w:w="1963"/>
        <w:gridCol w:w="1518"/>
        <w:gridCol w:w="1026"/>
        <w:gridCol w:w="1196"/>
        <w:gridCol w:w="1366"/>
        <w:tblGridChange w:id="0">
          <w:tblGrid>
            <w:gridCol w:w="1688"/>
            <w:gridCol w:w="1963"/>
            <w:gridCol w:w="1518"/>
            <w:gridCol w:w="1026"/>
            <w:gridCol w:w="1196"/>
            <w:gridCol w:w="1366"/>
          </w:tblGrid>
        </w:tblGridChange>
      </w:tblGrid>
      <w:tr>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ffffff"/>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Docencia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VIESA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(3)</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VIE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31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31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20</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9</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5</w:t>
            </w:r>
            <w:r w:rsidDel="00000000" w:rsidR="00000000" w:rsidRPr="00000000">
              <w:rPr>
                <w:rtl w:val="0"/>
              </w:rPr>
            </w:r>
          </w:p>
        </w:tc>
      </w:tr>
      <w:tr>
        <w:trPr>
          <w:trHeight w:val="420" w:hRule="atLeast"/>
        </w:trP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23,05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21,67</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12,74</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8</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3,66</w:t>
            </w:r>
            <w:r w:rsidDel="00000000" w:rsidR="00000000" w:rsidRPr="00000000">
              <w:rPr>
                <w:rtl w:val="0"/>
              </w:rPr>
            </w:r>
          </w:p>
        </w:tc>
      </w:tr>
    </w:tbl>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i w:val="1"/>
          <w:sz w:val="24"/>
          <w:szCs w:val="24"/>
          <w:vertAlign w:val="baseline"/>
          <w:rtl w:val="0"/>
        </w:rPr>
        <w:t xml:space="preserve">con las características que se plantean en el cuadro siguiente:</w:t>
      </w:r>
      <w:r w:rsidDel="00000000" w:rsidR="00000000" w:rsidRPr="00000000">
        <w:rPr>
          <w:rtl w:val="0"/>
        </w:rPr>
      </w:r>
    </w:p>
    <w:p w:rsidR="00000000" w:rsidDel="00000000" w:rsidP="00000000" w:rsidRDefault="00000000" w:rsidRPr="00000000">
      <w:pPr>
        <w:tabs>
          <w:tab w:val="left" w:pos="426"/>
        </w:tabs>
        <w:ind w:left="426" w:firstLine="0"/>
        <w:contextualSpacing w:val="0"/>
        <w:jc w:val="both"/>
      </w:pPr>
      <w:r w:rsidDel="00000000" w:rsidR="00000000" w:rsidRPr="00000000">
        <w:rPr>
          <w:rFonts w:ascii="Arial" w:cs="Arial" w:eastAsia="Arial" w:hAnsi="Arial"/>
          <w:i w:val="1"/>
          <w:color w:val="ff0000"/>
          <w:vertAlign w:val="baseline"/>
          <w:rtl w:val="0"/>
        </w:rPr>
        <w:t xml:space="preserve">…</w:t>
      </w:r>
      <w:r w:rsidDel="00000000" w:rsidR="00000000" w:rsidRPr="00000000">
        <w:rPr>
          <w:rtl w:val="0"/>
        </w:rPr>
      </w:r>
    </w:p>
    <w:tbl>
      <w:tblPr>
        <w:tblStyle w:val="Table4"/>
        <w:bidi w:val="0"/>
        <w:tblW w:w="9860.0" w:type="dxa"/>
        <w:jc w:val="left"/>
        <w:tblInd w:w="-70.0" w:type="dxa"/>
        <w:tblLayout w:type="fixed"/>
        <w:tblLook w:val="0000"/>
      </w:tblPr>
      <w:tblGrid>
        <w:gridCol w:w="400"/>
        <w:gridCol w:w="568"/>
        <w:gridCol w:w="851"/>
        <w:gridCol w:w="1758"/>
        <w:gridCol w:w="386"/>
        <w:gridCol w:w="771"/>
        <w:gridCol w:w="643"/>
        <w:gridCol w:w="473"/>
        <w:gridCol w:w="942"/>
        <w:gridCol w:w="3068"/>
        <w:tblGridChange w:id="0">
          <w:tblGrid>
            <w:gridCol w:w="400"/>
            <w:gridCol w:w="568"/>
            <w:gridCol w:w="851"/>
            <w:gridCol w:w="1758"/>
            <w:gridCol w:w="386"/>
            <w:gridCol w:w="771"/>
            <w:gridCol w:w="643"/>
            <w:gridCol w:w="473"/>
            <w:gridCol w:w="942"/>
            <w:gridCol w:w="3068"/>
          </w:tblGrid>
        </w:tblGridChange>
      </w:tblGrid>
      <w:tr>
        <w:trPr>
          <w:trHeight w:val="62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Perio-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Jorna-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color w:val="ffffff"/>
                <w:sz w:val="18"/>
                <w:szCs w:val="18"/>
                <w:vertAlign w:val="baseline"/>
                <w:rtl w:val="0"/>
              </w:rPr>
              <w:t xml:space="preserve">Adscrita a:</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i w:val="1"/>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i w:val="1"/>
                <w:sz w:val="18"/>
                <w:szCs w:val="18"/>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Dirección Vicerrectoría de Administra-</w:t>
              <w:br w:type="textWrapping"/>
              <w:t xml:space="preserve">ción</w:t>
            </w:r>
            <w:r w:rsidDel="00000000" w:rsidR="00000000" w:rsidRPr="00000000">
              <w:rPr>
                <w:rtl w:val="0"/>
              </w:rPr>
            </w:r>
          </w:p>
        </w:tc>
      </w:tr>
    </w:tbl>
    <w:p w:rsidR="00000000" w:rsidDel="00000000" w:rsidP="00000000" w:rsidRDefault="00000000" w:rsidRPr="00000000">
      <w:pPr>
        <w:ind w:left="426" w:firstLine="0"/>
        <w:contextualSpacing w:val="0"/>
      </w:pPr>
      <w:r w:rsidDel="00000000" w:rsidR="00000000" w:rsidRPr="00000000">
        <w:rPr>
          <w:rFonts w:ascii="Arial" w:cs="Arial" w:eastAsia="Arial" w:hAnsi="Arial"/>
          <w:i w:val="1"/>
          <w:color w:val="ff000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Se recibe oficio OPI-196-2011, del 08 de diciembre de 2011, suscrito por la M.A.E. Yaffanny Monge D’Avanzo, Directora a.i. de la Oficina de Planificación Institucional, dirigido a la B.Q. Grettel Castro Portuguez, Coordinadora de la Comisión de Planificación y Administración, en el cual emite dictamen sobre la solicitud de modificación de las plazas SE0016 y SE0017, ya que las mismas fueron aprobadas en la Sesión Ordinaria No. 2738, Artículo 10, del 20 de octubre de 2011, en un puesto de Profesional en Administración, categoría 23, período 6 meses, jornada 100%, tiempo completo equivalente 50%, siendo lo correcto en ambas plazas, el puesto de Técnico en Administración, categoría 16, jornada 100%, 6 meses, tal como se envió en el documento de propuesta de renovación temporal de plazas 2012.</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extraordinaria de la Comisión de Planificación y Administración No. 441-2011, del 14 de diciembre de 2011, se analizó el documento y se dispone elevar la propuesta al pleno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Modificar las características de las plazas SE0016 y SE0017  aprobadas en la Sesión Ordinaria No. 2738, Artículo 10, inciso b, del 20 de octubre de 2011 y descritas en las líneas 25 y 26 del cuadro, para que se lea: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993.0" w:type="dxa"/>
        <w:jc w:val="left"/>
        <w:tblInd w:w="-70.0" w:type="dxa"/>
        <w:tblLayout w:type="fixed"/>
        <w:tblLook w:val="0000"/>
      </w:tblPr>
      <w:tblGrid>
        <w:gridCol w:w="496"/>
        <w:gridCol w:w="567"/>
        <w:gridCol w:w="850"/>
        <w:gridCol w:w="1664"/>
        <w:gridCol w:w="386"/>
        <w:gridCol w:w="771"/>
        <w:gridCol w:w="643"/>
        <w:gridCol w:w="473"/>
        <w:gridCol w:w="1450"/>
        <w:gridCol w:w="2693"/>
        <w:tblGridChange w:id="0">
          <w:tblGrid>
            <w:gridCol w:w="496"/>
            <w:gridCol w:w="567"/>
            <w:gridCol w:w="850"/>
            <w:gridCol w:w="1664"/>
            <w:gridCol w:w="386"/>
            <w:gridCol w:w="771"/>
            <w:gridCol w:w="643"/>
            <w:gridCol w:w="473"/>
            <w:gridCol w:w="1450"/>
            <w:gridCol w:w="2693"/>
          </w:tblGrid>
        </w:tblGridChange>
      </w:tblGrid>
      <w:tr>
        <w:trPr>
          <w:trHeight w:val="62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Técnico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Administración</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Técnico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Administración</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Comunicar. </w:t>
      </w:r>
      <w:r w:rsidDel="00000000" w:rsidR="00000000" w:rsidRPr="00000000">
        <w:rPr>
          <w:rFonts w:ascii="Arial" w:cs="Arial" w:eastAsia="Arial" w:hAnsi="Arial"/>
          <w:b w:val="1"/>
          <w:color w:val="00000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6"/>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Investigación y Ext.</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1134" w:left="1134" w:right="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147320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2746, Artículo 11, del 15 de diciembre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93980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