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SCI-350-2012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M</w:t>
            </w:r>
            <w:r w:rsidDel="00000000" w:rsidR="00000000" w:rsidRPr="00000000">
              <w:rPr>
                <w:rFonts w:ascii="Arial" w:cs="Arial" w:eastAsia="Arial" w:hAnsi="Arial"/>
                <w:sz w:val="22"/>
                <w:szCs w:val="22"/>
                <w:vertAlign w:val="superscript"/>
                <w:rtl w:val="0"/>
              </w:rPr>
              <w:t xml:space="preserve">a </w:t>
            </w:r>
            <w:r w:rsidDel="00000000" w:rsidR="00000000" w:rsidRPr="00000000">
              <w:rPr>
                <w:rFonts w:ascii="Arial" w:cs="Arial" w:eastAsia="Arial" w:hAnsi="Arial"/>
                <w:sz w:val="22"/>
                <w:szCs w:val="22"/>
                <w:vertAlign w:val="baseline"/>
                <w:rtl w:val="0"/>
              </w:rPr>
              <w:t xml:space="preserve">Auxiliadora Navarro, Directora Depto. Financiero Contable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 Walter Sequeira, del Departamento de Aprovisionamiento</w:t>
            </w:r>
            <w:r w:rsidDel="00000000" w:rsidR="00000000" w:rsidRPr="00000000">
              <w:rPr>
                <w:rtl w:val="0"/>
              </w:rPr>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10 de mayo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2765, Artículo 11, del 10 de mayo del 2012. Contratación  Directa No. 2012CD-000008-APITCR “Servicio de Auditoría Externa Período 2011”</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1260"/>
        </w:tabs>
        <w:ind w:left="1260" w:hanging="126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Ordinaria No. 2469, Artículo 16, del 15 de junio de 2006, aprobó los Lineamientos para la Contratación de Auditorías Externas (Operativa y Financiera), los cuales en los incisos I.A.2, y II.A.4, dicen:</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ind w:left="993" w:hanging="414"/>
        <w:contextualSpacing w:val="0"/>
        <w:jc w:val="both"/>
      </w:pPr>
      <w:r w:rsidDel="00000000" w:rsidR="00000000" w:rsidRPr="00000000">
        <w:rPr>
          <w:rFonts w:ascii="Arial" w:cs="Arial" w:eastAsia="Arial" w:hAnsi="Arial"/>
          <w:b w:val="1"/>
          <w:i w:val="1"/>
          <w:sz w:val="22"/>
          <w:szCs w:val="22"/>
          <w:vertAlign w:val="baseline"/>
          <w:rtl w:val="0"/>
        </w:rPr>
        <w:t xml:space="preserve">“I. LINEAMIENTOS GENERALES PARA LAS AUDITORIAS EXTERNAS</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i w:val="1"/>
          <w:sz w:val="22"/>
          <w:szCs w:val="22"/>
          <w:vertAlign w:val="baseline"/>
          <w:rtl w:val="0"/>
        </w:rPr>
        <w:t xml:space="preserve">1…</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Fonts w:ascii="Arial" w:cs="Arial" w:eastAsia="Arial" w:hAnsi="Arial"/>
          <w:b w:val="1"/>
          <w:i w:val="1"/>
          <w:sz w:val="22"/>
          <w:szCs w:val="22"/>
          <w:vertAlign w:val="baseline"/>
          <w:rtl w:val="0"/>
        </w:rPr>
        <w:t xml:space="preserve">2</w:t>
      </w:r>
      <w:r w:rsidDel="00000000" w:rsidR="00000000" w:rsidRPr="00000000">
        <w:rPr>
          <w:rFonts w:ascii="Arial" w:cs="Arial" w:eastAsia="Arial" w:hAnsi="Arial"/>
          <w:i w:val="1"/>
          <w:sz w:val="22"/>
          <w:szCs w:val="22"/>
          <w:vertAlign w:val="baseline"/>
          <w:rtl w:val="0"/>
        </w:rPr>
        <w:t xml:space="preserve">. La contratación de las auditorías no será concedida de forma consecutiva a la misma empresa.</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992" w:hanging="414"/>
        <w:contextualSpacing w:val="0"/>
        <w:jc w:val="both"/>
      </w:pPr>
      <w:r w:rsidDel="00000000" w:rsidR="00000000" w:rsidRPr="00000000">
        <w:rPr>
          <w:rFonts w:ascii="Arial" w:cs="Arial" w:eastAsia="Arial" w:hAnsi="Arial"/>
          <w:b w:val="1"/>
          <w:i w:val="1"/>
          <w:sz w:val="22"/>
          <w:szCs w:val="22"/>
          <w:vertAlign w:val="baseline"/>
          <w:rtl w:val="0"/>
        </w:rPr>
        <w:t xml:space="preserve">II.  LINEAMIENTOS ESPECÍFICOS PARA LAS AUDITORIAS EXTERNAS</w:t>
      </w:r>
      <w:r w:rsidDel="00000000" w:rsidR="00000000" w:rsidRPr="00000000">
        <w:rPr>
          <w:rtl w:val="0"/>
        </w:rPr>
      </w:r>
    </w:p>
    <w:p w:rsidR="00000000" w:rsidDel="00000000" w:rsidP="00000000" w:rsidRDefault="00000000" w:rsidRPr="00000000">
      <w:pPr>
        <w:ind w:left="992" w:hanging="414"/>
        <w:contextualSpacing w:val="0"/>
        <w:jc w:val="both"/>
      </w:pPr>
      <w:r w:rsidDel="00000000" w:rsidR="00000000" w:rsidRPr="00000000">
        <w:rPr>
          <w:rtl w:val="0"/>
        </w:rPr>
      </w:r>
    </w:p>
    <w:p w:rsidR="00000000" w:rsidDel="00000000" w:rsidP="00000000" w:rsidRDefault="00000000" w:rsidRPr="00000000">
      <w:pPr>
        <w:ind w:left="992" w:hanging="414"/>
        <w:contextualSpacing w:val="0"/>
        <w:jc w:val="both"/>
      </w:pPr>
      <w:r w:rsidDel="00000000" w:rsidR="00000000" w:rsidRPr="00000000">
        <w:rPr>
          <w:rFonts w:ascii="Arial" w:cs="Arial" w:eastAsia="Arial" w:hAnsi="Arial"/>
          <w:b w:val="1"/>
          <w:sz w:val="22"/>
          <w:szCs w:val="22"/>
          <w:vertAlign w:val="baseline"/>
          <w:rtl w:val="0"/>
        </w:rPr>
        <w:t xml:space="preserve">A. AUDITORÍA EXTERNA FINANCIERA.</w:t>
      </w:r>
      <w:r w:rsidDel="00000000" w:rsidR="00000000" w:rsidRPr="00000000">
        <w:rPr>
          <w:rtl w:val="0"/>
        </w:rPr>
      </w:r>
    </w:p>
    <w:p w:rsidR="00000000" w:rsidDel="00000000" w:rsidP="00000000" w:rsidRDefault="00000000" w:rsidRPr="00000000">
      <w:pPr>
        <w:ind w:left="992" w:hanging="414"/>
        <w:contextualSpacing w:val="0"/>
        <w:jc w:val="both"/>
      </w:pP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b w:val="0"/>
          <w:sz w:val="22"/>
          <w:szCs w:val="22"/>
        </w:rPr>
      </w:pPr>
      <w:r w:rsidDel="00000000" w:rsidR="00000000" w:rsidRPr="00000000">
        <w:rPr>
          <w:rFonts w:ascii="Arial" w:cs="Arial" w:eastAsia="Arial" w:hAnsi="Arial"/>
          <w:b w:val="1"/>
          <w:i w:val="1"/>
          <w:sz w:val="22"/>
          <w:szCs w:val="22"/>
          <w:vertAlign w:val="baseline"/>
          <w:rtl w:val="0"/>
        </w:rPr>
        <w:t xml:space="preserve">SOBRE LA ADJUDICACIÓN DE LA CONTRATACIÓN</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ind w:left="1260" w:firstLine="0"/>
        <w:contextualSpacing w:val="0"/>
        <w:jc w:val="both"/>
      </w:pPr>
      <w:r w:rsidDel="00000000" w:rsidR="00000000" w:rsidRPr="00000000">
        <w:rPr>
          <w:rFonts w:ascii="Arial" w:cs="Arial" w:eastAsia="Arial" w:hAnsi="Arial"/>
          <w:i w:val="1"/>
          <w:sz w:val="22"/>
          <w:szCs w:val="22"/>
          <w:vertAlign w:val="baseline"/>
          <w:rtl w:val="0"/>
        </w:rPr>
        <w:t xml:space="preserve">El Consejo Institucional se reservará el derecho de adjudicar la Licitación que se tramite para la contratación de los servicios de auditoría externa, con base en la recomendación hecha por la Administración.”</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No. 2731, Artículo 8, del 16 de setiembre de 2011, acuerda adjudicar la Contratación Directa No. 2011CD-000472-APITCR “Servicio Auditoría Externa Financiera 2010”, a la empresa Consultores Financieros J.R. &amp; Asociados S.A.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AP-482-2012, del 02 de mayo de 2012, suscrito por el Lic. Walter Sequeira Fallas, Director del Departamento de Aprovisionamiento, dirigido a la B.Q. Grettel Castro Portuguez, Coordinadora de la Comisión de Planificación y Administración, en el cual adjunta, el Informe de la Contratación Directa No. 2012CD-000008-APITCR “Servicio de Auditoría Externa Período 2011”, indicando que cuenta con el visto bueno del ente técnico y del Vicerrector de Administración (DFC-647-2012 y VAD-132-2012); en el mismo señalan lo siguiente: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tabs>
          <w:tab w:val="left" w:pos="426"/>
        </w:tabs>
        <w:spacing w:after="0" w:lineRule="auto"/>
        <w:ind w:left="426"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De las dos ofertas recibidas, sólo la del Despacho Castillo Dávila &amp; Asociado cumple con las especificaciones técnicas y legales establecidas en el cartel.  La oferta del Despacho Deloitte &amp; Touche S.A., incumple con el punto 5, de las Condiciones Específicas del Cartel de esta Contratación “Vigencia de la Oferta”, la cual no fue indicada, por lo tanto al amparo del Artículo 80 del Reglamento de la Ley de Contratación Administrativa, la oferta queda excluida de este proceso”</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En reunión de la Comisión de Planificación y Administración No. 460-2012, celebrada el 04 de mayo de 2012, se recibe a la Licda. Evelyn Bonilla y al Lic. Walter Sequeira, del Departamento de Aprovisionamiento, en la cual los miembros de la Comisión, realizan consultas sobre el informe.  Aclaradas las mismas, se dispone elevar la propuesta al pleno del Consejo Institucional. </w:t>
      </w:r>
      <w:r w:rsidDel="00000000" w:rsidR="00000000" w:rsidRPr="00000000">
        <w:rPr>
          <w:rtl w:val="0"/>
        </w:rPr>
      </w:r>
    </w:p>
    <w:p w:rsidR="00000000" w:rsidDel="00000000" w:rsidP="00000000" w:rsidRDefault="00000000" w:rsidRPr="00000000">
      <w:pPr>
        <w:tabs>
          <w:tab w:val="left" w:pos="426"/>
        </w:tabs>
        <w:spacing w:before="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la Contratación Directa No. 2012CD-000008-APITCR “Servicio Auditoría Externa Período 2011”, por un monto de ¢3.900.000.00 de colones (tres millones novecientos mil colones exactos), a la empresa Despacho Castillo Dávila &amp; Asociados, cédula jurídica 3-108-229363;</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en razón de que la oferta se ajusta a lo solicitado en el Cartel de Contratación.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418" w:top="1418"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2765, Artículo 11,  del 10 de mayo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289560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b w:val="1"/>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4"/>
      <w:numFmt w:val="decimal"/>
      <w:lvlText w:val="%1."/>
      <w:lvlJc w:val="left"/>
      <w:pPr>
        <w:ind w:left="1080" w:firstLine="720"/>
      </w:pPr>
      <w:rPr>
        <w:i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