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SCI-423-2012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C. Calvo  A., Presidente Consejo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MBA. MA. Auxiliadora Navarro, Directora Depto.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Walter Sequeira, Director Departamento Aprovisionamiento</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31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2768, Artículo 7, del 31 de mayo del 2012. Autorización de pago de viáticos al exterior, al Dr. Julio Calvo A., Rector, quien participará en la XCVI, Sesión Ordinaria del Consejo Superior Universitario Centroamericano, por realizarse en la Universidad Autónoma de Santo Domingo, República Dominicana, del 21 al 24 de junio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ind w:left="709"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28 de mayo de 2012, recibió el memorando R-0522-2012, suscrito por el Dr. Julio Calvo Alvarado, Rector, dirigido a la Licda. Bertalía Sánchez Salas, Directora Ejecutiva de la Secretaría del Consejo Institucional, en el cual solicita someter a consideración y aprobación de los miembros del Consejo Institucional, los viáticos de Ley para su participación en la XCVI Sesión Ordinaria del CSUCA, por realizarse del 21 al 24 de junio de 2012, en la Universidad Autónoma de Santo Domingo, República Dominicana.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el mismo oficio se indica que los centros de costo serán tomados del Presupuesto de la Rectoría, desglosados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154.0" w:type="dxa"/>
        <w:jc w:val="left"/>
        <w:tblInd w:w="85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775"/>
        <w:tblGridChange w:id="0">
          <w:tblGrid>
            <w:gridCol w:w="6379"/>
            <w:gridCol w:w="1775"/>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y pago de  impuestos de salida de ambos países.  Asimismo, se  considere cubrir algún imprevisto)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$600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1540 (Viáticos en el exterior.  Asimismo, se  considere cubrir algún imprevisto) </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$700</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 </w:t>
            </w: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1619 (otros seguros) </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$44</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rPr>
      </w:pPr>
      <w:r w:rsidDel="00000000" w:rsidR="00000000" w:rsidRPr="00000000">
        <w:rPr>
          <w:rFonts w:ascii="Arial" w:cs="Arial" w:eastAsia="Arial" w:hAnsi="Arial"/>
          <w:vertAlign w:val="baseline"/>
          <w:rtl w:val="0"/>
        </w:rPr>
        <w:t xml:space="preserve">Asimismo, informa que el Ing. Luis Paulino Méndez, Vicerrector de Docencia, fungirá como Rector Interino, del 21 al 24 de junio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426" w:right="51"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Autorizar el pago de viáticos al exterior, tiquete aéreo, gastos de representación,  seguro, impuestos y otros gastos menores al Dr. Julio Calvo Alvarado, Rector, quien participará en la XCVI Sesión Ordinaria del Consejo Superior Universitario Centroamericano, por realizarse en la Universidad Autónoma de Santo Domingo, República Dominicana, a realizarse del 21 al 24 de junio de 2012, según se detalla a continuación:</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tbl>
      <w:tblPr>
        <w:tblStyle w:val="Table3"/>
        <w:bidi w:val="0"/>
        <w:tblW w:w="8154.000000000001" w:type="dxa"/>
        <w:jc w:val="left"/>
        <w:tblInd w:w="8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1"/>
        <w:gridCol w:w="4073"/>
        <w:tblGridChange w:id="0">
          <w:tblGrid>
            <w:gridCol w:w="4081"/>
            <w:gridCol w:w="4073"/>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y pago de  impuestos de salida de ambos países.  Asimismo, se  considere cubrir algún imprevisto)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$600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1540 (Viáticos en el exterior.  Asimismo, se  considere cubrir algún imprevisto)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$700</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 </w:t>
            </w: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vertAlign w:val="baseline"/>
                <w:rtl w:val="0"/>
              </w:rPr>
              <w:t xml:space="preserve">1619 (otros seguros)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$44</w:t>
            </w:r>
            <w:r w:rsidDel="00000000" w:rsidR="00000000" w:rsidRPr="00000000">
              <w:rPr>
                <w:rtl w:val="0"/>
              </w:rPr>
            </w:r>
          </w:p>
        </w:tc>
      </w:tr>
    </w:tbl>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426" w:right="51"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880.0" w:type="dxa"/>
        <w:jc w:val="left"/>
        <w:tblInd w:w="-70.0" w:type="dxa"/>
        <w:tblLayout w:type="fixed"/>
        <w:tblLook w:val="0000"/>
      </w:tblPr>
      <w:tblGrid>
        <w:gridCol w:w="4890"/>
        <w:gridCol w:w="240"/>
        <w:gridCol w:w="4680"/>
        <w:gridCol w:w="70"/>
        <w:tblGridChange w:id="0">
          <w:tblGrid>
            <w:gridCol w:w="489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1134" w:top="180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2768, Artículo 7,  del 31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467360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40" w:firstLine="48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35"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