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0"/>
          <w:sz w:val="26"/>
          <w:szCs w:val="26"/>
          <w:vertAlign w:val="baseline"/>
          <w:rtl w:val="0"/>
        </w:rPr>
        <w:t xml:space="preserve">SCI-492-2012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vertAlign w:val="baseline"/>
          <w:rtl w:val="0"/>
        </w:rPr>
        <w:t xml:space="preserve">Comunicación de acuerdo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747.0" w:type="dxa"/>
        <w:jc w:val="left"/>
        <w:tblLayout w:type="fixed"/>
        <w:tblLook w:val="0000"/>
      </w:tblPr>
      <w:tblGrid>
        <w:gridCol w:w="1136"/>
        <w:gridCol w:w="11"/>
        <w:gridCol w:w="8600"/>
        <w:tblGridChange w:id="0">
          <w:tblGrid>
            <w:gridCol w:w="1136"/>
            <w:gridCol w:w="11"/>
            <w:gridCol w:w="860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>
            <w:pPr>
              <w:tabs>
                <w:tab w:val="right" w:pos="2100"/>
                <w:tab w:val="left" w:pos="2694"/>
              </w:tabs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Para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Dr. Julio C. Calvo A, Rector </w:t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Ing. Nancy Hidalgo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Ing. Rolando Fournier,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Coordinadores de la Comisión de Reforma Total del Estatuto Orgánico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45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tabs>
                <w:tab w:val="right" w:pos="2100"/>
                <w:tab w:val="left" w:pos="2694"/>
              </w:tabs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Licda. Bertalía Sánchez Salas, Directora Ejecutiva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Secretaría del Consejo Institucional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tabs>
                <w:tab w:val="right" w:pos="2100"/>
                <w:tab w:val="left" w:pos="2694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Fecha: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21 de junio del 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Asunto: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44" w:hanging="2.0000000000000018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Sesión Ordinaria No. 2772, Artículo 11, del 21 de junio del 2012. Consulta títulos I y II de la propuesta de reforma total del Estatuto Orgánico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12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Para los fines correspondientes se transcribe el acuerdo tomado por el Consejo Institucional, citado en la referencia, el cual dice:</w:t>
      </w:r>
    </w:p>
    <w:p w:rsidR="00000000" w:rsidDel="00000000" w:rsidP="00000000" w:rsidRDefault="00000000" w:rsidRPr="00000000">
      <w:pPr>
        <w:ind w:left="1440" w:hanging="14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hanging="14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hanging="14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CONSIDERANDO QUE: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hanging="14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284" w:right="0" w:hanging="284"/>
        <w:contextualSpacing w:val="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La Secretaría del Consejo Institucional, recibió el oficio CEO-DAIR-07-2012, con fecha 18 de mayo del 2012, suscrito por la Ing. Nancy Hidalgo y el Ing. Rolando Fournier, Coordinadores de la Comisión de Reforma Total del Estatuto Orgánico, dirigido al Dr. Julio C. Calvo, Presidente del Consejo Institucional, en el cual elevan a consulta los títulos I y II de la propuesta de reforma del Estatuto Orgánico, referidos a aspectos  medulares  de la Institución, como lo serían sus fines y principios entre otros.  Esta consulta es la primera de varias que se realizarán. Cada una de ellas estará enfocada en una parte específica de la propuesta de reforma y se fundamentará en las partes que ya hayan sido consultadas y depuradas previamente. Por eso, es de gran importancia que lo órganos que están siendo consultados aporten sus opiniones y criterios en cada caso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84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284" w:right="0" w:hanging="284"/>
        <w:contextualSpacing w:val="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El Consejo Institucional en la Sesión Ordinaria No. 2768, celebrada el 31 de mayo del 2012, trasladó el oficio CEO-DAIR-07-2012, a las Comisiones Permanentes, para su respectivo trámite.</w:t>
      </w:r>
    </w:p>
    <w:p w:rsidR="00000000" w:rsidDel="00000000" w:rsidP="00000000" w:rsidRDefault="00000000" w:rsidRPr="00000000">
      <w:pPr>
        <w:spacing w:after="0" w:before="0" w:line="240" w:lineRule="auto"/>
        <w:ind w:left="284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284" w:right="0" w:hanging="284"/>
        <w:contextualSpacing w:val="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Mediante el oficio SCI-428-2012, de  fecha 1° de junio del 2012, suscrito por la B.Q. Grettel Castro, Coordinadora de la Comisión de Planificación y Administración, dirigido al Ing. Jorge Chaves, Coordinador  de Asuntos Académicos y Estudiantiles, en el cual se solicita analizar en forma conjunta, las  observaciones a la primera parte de la modificación del Estatuto Orgánico; de forma que el análisis sea lo más amplio posible.</w:t>
      </w:r>
    </w:p>
    <w:p w:rsidR="00000000" w:rsidDel="00000000" w:rsidP="00000000" w:rsidRDefault="00000000" w:rsidRPr="00000000">
      <w:pPr>
        <w:spacing w:after="0" w:before="0" w:line="240" w:lineRule="auto"/>
        <w:ind w:left="284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284" w:hanging="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La Comisión de Asuntos Académicos y Estudiantiles, según consta en las Minutas Nos. 353-2012 y 354-2012, del 11 de junio del 2012 y 18 de junio del 2012, analizó en conjunto con la Comisión de Planificación y Administración y la Comisión de Estatuto Orgáncio, la consulta de los títulos I y II de la propuesta de reforma total del Estatuto Orgánico, y se dispone elevar la propuesta al Pleno.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ACUERDA: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284" w:right="0" w:hanging="284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Comunicar a la Comisión de Reforma Total del Estatuto Orgánico las siguientes observaciones:</w:t>
      </w:r>
    </w:p>
    <w:p w:rsidR="00000000" w:rsidDel="00000000" w:rsidP="00000000" w:rsidRDefault="00000000" w:rsidRPr="00000000">
      <w:pPr>
        <w:spacing w:after="0" w:before="0" w:line="240" w:lineRule="auto"/>
        <w:ind w:left="284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400.0" w:type="dxa"/>
        <w:jc w:val="left"/>
        <w:tblInd w:w="-15.0" w:type="dxa"/>
        <w:tblLayout w:type="fixed"/>
        <w:tblLook w:val="0000"/>
      </w:tblPr>
      <w:tblGrid>
        <w:gridCol w:w="4700"/>
        <w:gridCol w:w="4700"/>
        <w:tblGridChange w:id="0">
          <w:tblGrid>
            <w:gridCol w:w="4700"/>
            <w:gridCol w:w="4700"/>
          </w:tblGrid>
        </w:tblGridChange>
      </w:tblGrid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Recomendaciones del Consejo Institucional a la Propuesta de reforma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Observaciones y justificaciones Consejo Institucional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ESTATUTO ORGANICO DEL INSTITUTO TECNOLOGICO DE COSTA RICA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TITULO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FINES Y PRINCIPIOS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Artículo 1</w:t>
              <w:br w:type="textWrapping"/>
              <w:t xml:space="preserve">El Instituto Tecnológico de Costa Rica es una institución nacional de educación superior universitaria dedicada a la docencia, la investigación y la extensión de la ciencia y la tecnología necesarias para el desarrollo nacional e internacional. Goza de independencia para el desempeño de sus funciones, plena capacidad jurídica para adquirir derechos y contraer obligaciones, así como para darse su organización y gobierno propios.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br w:type="textWrapping"/>
              <w:t xml:space="preserve">El Estatuto Orgánico es el marco superior de la normativa institucional.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Se recomienda dejar la palabra universitaria, después de superior, ya que somos una universidad y la educación superior no es sólo universitaria, también está la parauniversitaria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Además se incluyen dos correcciones ortográficas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Artículo 2</w:t>
              <w:br w:type="textWrapping"/>
              <w:t xml:space="preserve">La acción integrada de la docencia, la investigación y la extensión del Instituto, está orientada al cumplimiento de los siguientes fines: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a. Realizar investigaciones científicas y tecnológicas, asegurando que estas contribuyan con las transformaciones que la sociedad requiere, se articulen con la docencia y la extensión y respondan a temáticas estratégicas.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Se recomienda que el orden en que se presenten los incisos a y b en  la propuesta ante la AIR sea el que van a tener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b. Formar profesionales en el campo científico y tecnológico que aúnen al dominio de su disciplina una clara conciencia de las tendencias mundiales y del contexto socioeconómico, cultural y ambiental en que la ciencia y la tecnología se generan, transfieren y aplican, lo cual les permita participar en forma ética, responsable, crítica y creativa en el desarrollo nacional e internacional.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d. El respeto y la defensa de su autonomía universitaria consagrada en la Constitución Política de la República.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Agregar como inciso d y correr la numeración de los siguientes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h. El compromiso con la transparencia, la rendición de cuentas y la evaluación permanente de los resultados, en función del mejoramiento continuo de todos los procesos de la Institución y en consecuencia con el ejercicio de la autonomía universitaria.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Cambiar las palabras “las labores” por los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procesos ya que la institución está trabajando el mejoramiento continuo con un enfoque de mejora  de procesos.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i. La responsabilidad de cada uno de sus individuos y de sus órganos  por las consecuencias de sus acciones y decisiones.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Se considera que pueden haber responsabilidades por acciones y decisiones de los individuos no sólo de órganos, sino que estas pueden ser de forma individual o colegiada,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l. El compromiso con la formación integral y superación permanente de la comunidad institucional y de sus graduados.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eliminar la coma  y eliminar la palabra jubilados.  Incluir los jubilados es un asunto que va más allá de lo que le corresponde a la Institución.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Artículo 3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Para el cumplimiento de sus fines, el Instituto Tecnológico de Costa Rica se rige por los siguientes principios: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e. La libertad de cátedra, entendida como el derecho de los académicos de proponer y desarrollar sus actividades académicas de conformidad con sus propias convicciones filosóficas, científicas, políticas y credo.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Se cuestiona el alcance de la palabra “religiosas”, y la posibilidad de que se cambie por “…y/o credo”.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Por considerar que el término “Credo” es más amplio.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g. La igualdad de oportunidades para el ingreso y permanencia de los integrantes de la Comunidad Institucional.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Se sugiere que la igualdad de oportunidades no sea sólo para estudiantes sino también para funcionarios(as). Duda: podría explicarse más ampliamente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TITULO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DOMICILIO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El Instituto Tecnológico de Costa Rica tiene su domicilio legal y su Sede Central en la Ciudad de Cartago. Además, podrá tener instalaciones y actividades en otros lugares del territorio nacional o fuera de este.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La palabra nivel en la redacción de la propuesta que hace la Comisión RETO, según el Diccionario de la Real Academia se refiere a horizontalidad 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vertAlign w:val="baseline"/>
                <w:rtl w:val="0"/>
              </w:rPr>
              <w:t xml:space="preserve">(Altura a que llega la superficie de un líquido. Ejemplo: El nivel de la riada; Altura que algo alcanza, o a la que está colocado; Medida de una cantidad con referencia a una escala determinada. Ejemplo: Nivel de renta. Ejemplo: Nivel de glucosa; Categoría, rango; Instrumento para averiguar la diferencia o la igualdad de altura entre dos puntos; Grado o altura que alcanzan ciertos aspectos de la vida social. Ejemplo: Nivel económico. Ejemplo: Nivel de cultura; Igualdad o equivalencia en cualquier línea o especie)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, por lo que no concuerda con el sentido que tiene el texto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284" w:right="0" w:hanging="284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Comunicar.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ACUERDO FIRME.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BSS/vvl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430.0" w:type="dxa"/>
        <w:jc w:val="left"/>
        <w:tblInd w:w="-70.0" w:type="dxa"/>
        <w:tblLayout w:type="fixed"/>
        <w:tblLook w:val="0000"/>
      </w:tblPr>
      <w:tblGrid>
        <w:gridCol w:w="4510"/>
        <w:gridCol w:w="4920"/>
        <w:tblGridChange w:id="0">
          <w:tblGrid>
            <w:gridCol w:w="4510"/>
            <w:gridCol w:w="492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ci.  Secretaría del Consejo Institucional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Vic. de Docencia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Vic. Administración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Vic. Investigación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VIESA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AIR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Auditoría Interna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Oficina de Comunicación y Mercadeo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Oficina de Asesoría Legal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FEITEC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Centro de Archivo y Comunicaciones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pgSz w:h="15840" w:w="12240"/>
      <w:pgMar w:bottom="851" w:top="1843" w:left="1304" w:right="130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913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5029835</wp:posOffset>
          </wp:positionH>
          <wp:positionV relativeFrom="paragraph">
            <wp:posOffset>627380</wp:posOffset>
          </wp:positionV>
          <wp:extent cx="1574800" cy="584200"/>
          <wp:effectExtent b="0" l="0" r="0" t="0"/>
          <wp:wrapNone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4800" cy="584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right="-40"/>
      <w:contextualSpacing w:val="0"/>
    </w:pPr>
    <w:r w:rsidDel="00000000" w:rsidR="00000000" w:rsidRPr="00000000">
      <w:rPr>
        <w:rFonts w:ascii="Arial" w:cs="Arial" w:eastAsia="Arial" w:hAnsi="Arial"/>
        <w:b w:val="1"/>
        <w:i w:val="1"/>
        <w:sz w:val="18"/>
        <w:szCs w:val="18"/>
        <w:vertAlign w:val="baseline"/>
        <w:rtl w:val="0"/>
      </w:rPr>
      <w:t xml:space="preserve">COMUNICACIÓN DE ACUERDO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right="584"/>
      <w:contextualSpacing w:val="0"/>
      <w:jc w:val="both"/>
    </w:pPr>
    <w:r w:rsidDel="00000000" w:rsidR="00000000" w:rsidRPr="00000000">
      <w:rPr>
        <w:rFonts w:ascii="Arial" w:cs="Arial" w:eastAsia="Arial" w:hAnsi="Arial"/>
        <w:i w:val="1"/>
        <w:sz w:val="18"/>
        <w:szCs w:val="18"/>
        <w:vertAlign w:val="baseline"/>
        <w:rtl w:val="0"/>
      </w:rPr>
      <w:t xml:space="preserve">Sesión Ordinaria No. 2772, Artículo 11,  del  21 de junio del 2012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0" w:before="0" w:line="240" w:lineRule="auto"/>
      <w:contextualSpacing w:val="0"/>
    </w:pPr>
    <w:r w:rsidDel="00000000" w:rsidR="00000000" w:rsidRPr="00000000">
      <w:rPr>
        <w:rFonts w:ascii="Arial" w:cs="Arial" w:eastAsia="Arial" w:hAnsi="Arial"/>
        <w:b w:val="0"/>
        <w:i w:val="1"/>
        <w:sz w:val="18"/>
        <w:szCs w:val="18"/>
        <w:vertAlign w:val="baseline"/>
        <w:rtl w:val="0"/>
      </w:rPr>
      <w:t xml:space="preserve">Página </w:t>
    </w:r>
    <w:fldSimple w:instr="PAGE" w:fldLock="0" w:dirty="0"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913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5182235</wp:posOffset>
          </wp:positionH>
          <wp:positionV relativeFrom="paragraph">
            <wp:posOffset>245109</wp:posOffset>
          </wp:positionV>
          <wp:extent cx="1574800" cy="584200"/>
          <wp:effectExtent b="0" l="0" r="0" t="0"/>
          <wp:wrapNone/>
          <wp:docPr id="2" name="image02.png"/>
          <a:graphic>
            <a:graphicData uri="http://schemas.openxmlformats.org/drawingml/2006/picture">
              <pic:pic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4800" cy="5842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86" w:firstLine="425.99999999999994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1"/>
      <w:numFmt w:val="lowerLetter"/>
      <w:lvlText w:val="%1."/>
      <w:lvlJc w:val="left"/>
      <w:pPr>
        <w:ind w:left="1068" w:firstLine="708"/>
      </w:pPr>
      <w:rPr>
        <w:rFonts w:ascii="Arial" w:cs="Arial" w:eastAsia="Arial" w:hAnsi="Arial"/>
        <w:b w:val="1"/>
        <w:i w:val="0"/>
        <w:sz w:val="24"/>
        <w:szCs w:val="24"/>
        <w:vertAlign w:val="baseline"/>
      </w:rPr>
    </w:lvl>
    <w:lvl w:ilvl="1">
      <w:start w:val="2"/>
      <w:numFmt w:val="decimal"/>
      <w:lvlText w:val="%1.%2."/>
      <w:lvlJc w:val="left"/>
      <w:pPr>
        <w:ind w:left="2083" w:firstLine="1363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738" w:firstLine="2018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753" w:firstLine="2673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408" w:firstLine="3328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423" w:firstLine="3982.999999999999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78" w:firstLine="4638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093" w:firstLine="5293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8108" w:firstLine="5948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02.png"/></Relationships>
</file>