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SCI-539-2012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60.000000000002" w:type="dxa"/>
              <w:jc w:val="left"/>
              <w:tblInd w:w="46.0" w:type="dxa"/>
              <w:tblLayout w:type="fixed"/>
              <w:tblLook w:val="0000"/>
            </w:tblPr>
            <w:tblGrid>
              <w:gridCol w:w="62"/>
              <w:gridCol w:w="9436"/>
              <w:gridCol w:w="62"/>
              <w:tblGridChange w:id="0">
                <w:tblGrid>
                  <w:gridCol w:w="62"/>
                  <w:gridCol w:w="9436"/>
                  <w:gridCol w:w="62"/>
                </w:tblGrid>
              </w:tblGridChange>
            </w:tblGrid>
            <w:tr>
              <w:tc>
                <w:tcPr>
                  <w:gridSpan w:val="3"/>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Guiselle Segnini, Gerente Área Servicios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Dirección Fiscalización Operativa y Evaluativa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Contraloría General de la República</w:t>
                  </w:r>
                  <w:r w:rsidDel="00000000" w:rsidR="00000000" w:rsidRPr="00000000">
                    <w:rPr>
                      <w:rtl w:val="0"/>
                    </w:rPr>
                  </w:r>
                </w:p>
              </w:tc>
            </w:tr>
            <w:tr>
              <w:tc>
                <w:tcPr>
                  <w:gridSpan w:val="3"/>
                </w:tcPr>
                <w:p w:rsidR="00000000" w:rsidDel="00000000" w:rsidP="00000000" w:rsidRDefault="00000000" w:rsidRPr="00000000">
                  <w:pPr>
                    <w:ind w:left="-58" w:firstLine="0"/>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 </w:t>
                  </w:r>
                  <w:r w:rsidDel="00000000" w:rsidR="00000000" w:rsidRPr="00000000">
                    <w:rPr>
                      <w:rtl w:val="0"/>
                    </w:rPr>
                  </w:r>
                </w:p>
                <w:p w:rsidR="00000000" w:rsidDel="00000000" w:rsidP="00000000" w:rsidRDefault="00000000" w:rsidRPr="00000000">
                  <w:pPr>
                    <w:ind w:left="-58" w:firstLine="0"/>
                    <w:contextualSpacing w:val="0"/>
                    <w:jc w:val="both"/>
                  </w:pPr>
                  <w:r w:rsidDel="00000000" w:rsidR="00000000" w:rsidRPr="00000000">
                    <w:rPr>
                      <w:rFonts w:ascii="Arial" w:cs="Arial" w:eastAsia="Arial" w:hAnsi="Arial"/>
                      <w:sz w:val="22"/>
                      <w:szCs w:val="22"/>
                      <w:vertAlign w:val="baseline"/>
                      <w:rtl w:val="0"/>
                    </w:rPr>
                    <w:t xml:space="preserve">MAE. Yafanny Monge, Directora a.i. Oficina de Planificación</w:t>
                  </w:r>
                  <w:r w:rsidDel="00000000" w:rsidR="00000000" w:rsidRPr="00000000">
                    <w:rPr>
                      <w:rtl w:val="0"/>
                    </w:rPr>
                  </w:r>
                </w:p>
                <w:p w:rsidR="00000000" w:rsidDel="00000000" w:rsidP="00000000" w:rsidRDefault="00000000" w:rsidRPr="00000000">
                  <w:pPr>
                    <w:ind w:left="-58" w:firstLine="0"/>
                    <w:contextualSpacing w:val="0"/>
                    <w:jc w:val="both"/>
                  </w:pPr>
                  <w:r w:rsidDel="00000000" w:rsidR="00000000" w:rsidRPr="00000000">
                    <w:rPr>
                      <w:rFonts w:ascii="Arial" w:cs="Arial" w:eastAsia="Arial" w:hAnsi="Arial"/>
                      <w:sz w:val="22"/>
                      <w:szCs w:val="22"/>
                      <w:vertAlign w:val="baseline"/>
                      <w:rtl w:val="0"/>
                    </w:rPr>
                    <w:t xml:space="preserve">MAE. Ma. Auxiliadora Navarro, Directora Depto. Financiero Contable</w:t>
                  </w:r>
                  <w:r w:rsidDel="00000000" w:rsidR="00000000" w:rsidRPr="00000000">
                    <w:rPr>
                      <w:rtl w:val="0"/>
                    </w:rPr>
                  </w:r>
                </w:p>
              </w:tc>
            </w:tr>
          </w:tbl>
          <w:p w:rsidR="00000000" w:rsidDel="00000000" w:rsidP="00000000" w:rsidRDefault="00000000" w:rsidRPr="00000000">
            <w:pPr>
              <w:spacing w:after="0" w:before="0" w:line="240" w:lineRule="auto"/>
              <w:ind w:left="47" w:firstLine="0"/>
              <w:contextualSpacing w:val="0"/>
              <w:jc w:val="both"/>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89" w:right="51" w:firstLine="4.0000000000000036"/>
              <w:contextualSpacing w:val="0"/>
            </w:pPr>
            <w:r w:rsidDel="00000000" w:rsidR="00000000" w:rsidRPr="00000000">
              <w:rPr>
                <w:rtl w:val="0"/>
              </w:rPr>
            </w:r>
          </w:p>
          <w:p w:rsidR="00000000" w:rsidDel="00000000" w:rsidP="00000000" w:rsidRDefault="00000000" w:rsidRPr="00000000">
            <w:pPr>
              <w:ind w:left="89"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89" w:firstLine="0"/>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ind w:left="75" w:firstLine="0"/>
              <w:contextualSpacing w:val="0"/>
              <w:jc w:val="both"/>
            </w:pPr>
            <w:r w:rsidDel="00000000" w:rsidR="00000000" w:rsidRPr="00000000">
              <w:rPr>
                <w:rFonts w:ascii="Arial" w:cs="Arial" w:eastAsia="Arial" w:hAnsi="Arial"/>
                <w:b w:val="1"/>
                <w:sz w:val="22"/>
                <w:szCs w:val="22"/>
                <w:vertAlign w:val="baseline"/>
                <w:rtl w:val="0"/>
              </w:rPr>
              <w:t xml:space="preserve">18 de julio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2774, Artículo 14, del 18 de julio del 2012. Informe de Ejecución Presupuestaria al 30 de junio de 2012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before="240" w:lineRule="auto"/>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VAD-2506-2012, del 17 de julio de 2012, suscrito por el MAE. Marcel Hernández Mora, Vicerrector de Administración, dirigido al Dr. Julio César Calvo Alvarado, Presidente del Consejo Institucional, en el cual adjunta el Informe de Ejecución Presupuestaria al 30 de junio de 2012, con el propósito de que sea conocido por el Consejo Institucional y posteriormente remitido a la Contraloría General de la República. </w:t>
      </w:r>
      <w:r w:rsidDel="00000000" w:rsidR="00000000" w:rsidRPr="00000000">
        <w:rPr>
          <w:rtl w:val="0"/>
        </w:rPr>
      </w:r>
    </w:p>
    <w:p w:rsidR="00000000" w:rsidDel="00000000" w:rsidP="00000000" w:rsidRDefault="00000000" w:rsidRPr="00000000">
      <w:pPr>
        <w:numPr>
          <w:ilvl w:val="0"/>
          <w:numId w:val="2"/>
        </w:numPr>
        <w:spacing w:before="240" w:lineRule="auto"/>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En oficio DFC-1062-2012, del 16 de julio de 2012, suscrito por la M.A.E. Ma. Auxiliadora Navarro Cabezas, Directora del Departamento Financiero Contable, dirigido al M.A.E. Marcel Hernández Mora, Vicerrector de Administración, se indica que de acuerdo con la Circular No. 10428, del 22 de setiembre de 1998 de la Contraloría General de la República, este Informe debe ser presentado al Ente Contralor en los siguientes 15 días hábiles posteriores al 30 de junio; por lo que corresponde de acuerdo al calendario, presentarlo el 20 de julio del 2012. </w:t>
      </w:r>
      <w:r w:rsidDel="00000000" w:rsidR="00000000" w:rsidRPr="00000000">
        <w:rPr>
          <w:rtl w:val="0"/>
        </w:rPr>
      </w:r>
    </w:p>
    <w:p w:rsidR="00000000" w:rsidDel="00000000" w:rsidP="00000000" w:rsidRDefault="00000000" w:rsidRPr="00000000">
      <w:pPr>
        <w:numPr>
          <w:ilvl w:val="0"/>
          <w:numId w:val="2"/>
        </w:numPr>
        <w:spacing w:before="240" w:lineRule="auto"/>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El ITCR tuvo su período de vacaciones del 03 al 16 de julio 2012, por lo que resulta materialmente imposible realizar la Evaluación del Plan Anual Operativo en el plazo fijado en la Circular No. 10428, del 22 de setiembre de 1998 de la Contraloría General de la República.</w:t>
      </w:r>
      <w:r w:rsidDel="00000000" w:rsidR="00000000" w:rsidRPr="00000000">
        <w:rPr>
          <w:rtl w:val="0"/>
        </w:rPr>
      </w:r>
    </w:p>
    <w:p w:rsidR="00000000" w:rsidDel="00000000" w:rsidP="00000000" w:rsidRDefault="00000000" w:rsidRPr="00000000">
      <w:pPr>
        <w:spacing w:before="24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Dar por recibido el Informe de Ejecución Presupuestaria al 30 de julio de 2012, según documento adjunto para su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Autorizar a la Administración remitir a la Contraloría General de la República el Informe de Ejecución Presupuestaria al 30 de junio de 2012, con el fin de cumplir con los plazos estipulados en la Circular No. 10428, del 22 de setiembre de 1998 de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2774, Artículo 14,  del  18 de julio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245109</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z w:val="24"/>
        <w:szCs w:val="24"/>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25"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