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Arial" w:cs="Arial" w:eastAsia="Arial" w:hAnsi="Arial"/>
          <w:b w:val="1"/>
          <w:i w:val="0"/>
          <w:sz w:val="26"/>
          <w:szCs w:val="26"/>
          <w:vertAlign w:val="baseline"/>
          <w:rtl w:val="0"/>
        </w:rPr>
        <w:t xml:space="preserve">SCI-967-2012</w:t>
      </w:r>
    </w:p>
    <w:p w:rsidR="00000000" w:rsidDel="00000000" w:rsidP="00000000" w:rsidRDefault="00000000" w:rsidRPr="00000000">
      <w:pPr>
        <w:ind w:left="720" w:hanging="720"/>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ind w:left="720" w:hanging="720"/>
        <w:contextualSpacing w:val="0"/>
        <w:jc w:val="center"/>
      </w:pPr>
      <w:r w:rsidDel="00000000" w:rsidR="00000000" w:rsidRPr="00000000">
        <w:rPr>
          <w:rtl w:val="0"/>
        </w:rPr>
      </w:r>
    </w:p>
    <w:p w:rsidR="00000000" w:rsidDel="00000000" w:rsidP="00000000" w:rsidRDefault="00000000" w:rsidRPr="00000000">
      <w:pPr>
        <w:ind w:left="720" w:hanging="720"/>
        <w:contextualSpacing w:val="0"/>
        <w:jc w:val="center"/>
      </w:pPr>
      <w:r w:rsidDel="00000000" w:rsidR="00000000" w:rsidRPr="00000000">
        <w:rPr>
          <w:rtl w:val="0"/>
        </w:rPr>
      </w:r>
    </w:p>
    <w:p w:rsidR="00000000" w:rsidDel="00000000" w:rsidP="00000000" w:rsidRDefault="00000000" w:rsidRPr="00000000">
      <w:pPr>
        <w:ind w:left="720" w:hanging="720"/>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1"/>
                <w:sz w:val="24"/>
                <w:szCs w:val="24"/>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Luis Paulino Méndez,  Rector a.i.</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ind w:left="720" w:hanging="720"/>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22"/>
                <w:szCs w:val="22"/>
                <w:vertAlign w:val="baseline"/>
                <w:rtl w:val="0"/>
              </w:rPr>
              <w:t xml:space="preserve">21 de noviembre del 2012</w:t>
            </w:r>
            <w:r w:rsidDel="00000000" w:rsidR="00000000" w:rsidRPr="00000000">
              <w:rPr>
                <w:rtl w:val="0"/>
              </w:rPr>
            </w:r>
          </w:p>
        </w:tc>
      </w:tr>
      <w:tr>
        <w:trPr>
          <w:trHeight w:val="280" w:hRule="atLeast"/>
        </w:trPr>
        <w:tc>
          <w:tcPr>
            <w:gridSpan w:val="2"/>
          </w:tcPr>
          <w:p w:rsidR="00000000" w:rsidDel="00000000" w:rsidP="00000000" w:rsidRDefault="00000000" w:rsidRPr="00000000">
            <w:pPr>
              <w:ind w:left="720" w:hanging="720"/>
              <w:contextualSpacing w:val="0"/>
            </w:pPr>
            <w:r w:rsidDel="00000000" w:rsidR="00000000" w:rsidRPr="00000000">
              <w:rPr>
                <w:rtl w:val="0"/>
              </w:rPr>
            </w:r>
          </w:p>
        </w:tc>
        <w:tc>
          <w:tcPr/>
          <w:p w:rsidR="00000000" w:rsidDel="00000000" w:rsidP="00000000" w:rsidRDefault="00000000" w:rsidRPr="00000000">
            <w:pPr>
              <w:ind w:left="720" w:hanging="720"/>
              <w:contextualSpacing w:val="0"/>
            </w:pPr>
            <w:r w:rsidDel="00000000" w:rsidR="00000000" w:rsidRPr="00000000">
              <w:rPr>
                <w:rtl w:val="0"/>
              </w:rPr>
            </w:r>
          </w:p>
        </w:tc>
      </w:tr>
      <w:tr>
        <w:trPr>
          <w:trHeight w:val="320" w:hRule="atLeast"/>
        </w:trPr>
        <w:tc>
          <w:tcPr/>
          <w:p w:rsidR="00000000" w:rsidDel="00000000" w:rsidP="00000000" w:rsidRDefault="00000000" w:rsidRPr="00000000">
            <w:pPr>
              <w:ind w:left="720" w:hanging="720"/>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c>
          <w:tcPr>
            <w:gridSpan w:val="2"/>
          </w:tcPr>
          <w:p w:rsidR="00000000" w:rsidDel="00000000" w:rsidP="00000000" w:rsidRDefault="00000000" w:rsidRPr="00000000">
            <w:pPr>
              <w:ind w:left="43" w:firstLine="2.9999999999999982"/>
              <w:contextualSpacing w:val="0"/>
              <w:jc w:val="both"/>
            </w:pPr>
            <w:r w:rsidDel="00000000" w:rsidR="00000000" w:rsidRPr="00000000">
              <w:rPr>
                <w:rFonts w:ascii="Arial" w:cs="Arial" w:eastAsia="Arial" w:hAnsi="Arial"/>
                <w:b w:val="1"/>
                <w:sz w:val="22"/>
                <w:szCs w:val="22"/>
                <w:vertAlign w:val="baseline"/>
                <w:rtl w:val="0"/>
              </w:rPr>
              <w:t xml:space="preserve">Sesión Ordinaria No. 2794 Artículo 8, del 21 de noviembre del 2012. Solicitud de prórroga presentada por la Administración, para presentar la propuesta de Reglamento de Manejo de Información y el Procedimiento para el manejo de la información confidencial, solicitados en el acuerdo del Consejo Institucional de la Sesión Ordinaria No. 2703, Artículo 9, del 10 de marzo de 2011. </w:t>
            </w:r>
            <w:r w:rsidDel="00000000" w:rsidR="00000000" w:rsidRPr="00000000">
              <w:rPr>
                <w:rtl w:val="0"/>
              </w:rPr>
            </w:r>
          </w:p>
          <w:p w:rsidR="00000000" w:rsidDel="00000000" w:rsidP="00000000" w:rsidRDefault="00000000" w:rsidRPr="00000000">
            <w:pPr>
              <w:tabs>
                <w:tab w:val="right" w:pos="2410"/>
                <w:tab w:val="left" w:pos="2694"/>
              </w:tabs>
              <w:ind w:left="43" w:firstLine="2.9999999999999982"/>
              <w:contextualSpacing w:val="0"/>
              <w:jc w:val="both"/>
            </w:pPr>
            <w:r w:rsidDel="00000000" w:rsidR="00000000" w:rsidRPr="00000000">
              <w:rPr>
                <w:rtl w:val="0"/>
              </w:rPr>
            </w:r>
          </w:p>
          <w:p w:rsidR="00000000" w:rsidDel="00000000" w:rsidP="00000000" w:rsidRDefault="00000000" w:rsidRPr="00000000">
            <w:pPr>
              <w:tabs>
                <w:tab w:val="right" w:pos="2410"/>
                <w:tab w:val="left" w:pos="2694"/>
              </w:tabs>
              <w:ind w:left="43" w:firstLine="2.9999999999999982"/>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ind w:left="70" w:hanging="10.999999999999996"/>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ind w:left="70" w:hanging="10.999999999999996"/>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Ordinaria No. 2703, Artículo 9, del 10 de marzo del 2011, acordó lo siguiente: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76" w:lineRule="auto"/>
        <w:ind w:left="709" w:hanging="283"/>
        <w:contextualSpacing w:val="1"/>
        <w:jc w:val="both"/>
        <w:rPr>
          <w:rFonts w:ascii="Arial" w:cs="Arial" w:eastAsia="Arial" w:hAnsi="Arial"/>
          <w:i w:val="0"/>
          <w:sz w:val="22"/>
          <w:szCs w:val="22"/>
        </w:rPr>
      </w:pPr>
      <w:r w:rsidDel="00000000" w:rsidR="00000000" w:rsidRPr="00000000">
        <w:rPr>
          <w:rFonts w:ascii="Times New Roman" w:cs="Times New Roman" w:eastAsia="Times New Roman" w:hAnsi="Times New Roman"/>
          <w:b w:val="1"/>
          <w:i w:val="1"/>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Solicitar a la Administración, que a más tardar el 30 de mayo de 2011, presente al Consejo Institucional: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993" w:hanging="283.9999999999999"/>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Propuesta del Reglamento de Ética, de acuerdo con el Reglamento de Normalización</w:t>
      </w:r>
      <w:r w:rsidDel="00000000" w:rsidR="00000000" w:rsidRPr="00000000">
        <w:rPr>
          <w:rtl w:val="0"/>
        </w:rPr>
      </w:r>
    </w:p>
    <w:p w:rsidR="00000000" w:rsidDel="00000000" w:rsidP="00000000" w:rsidRDefault="00000000" w:rsidRPr="00000000">
      <w:pPr>
        <w:spacing w:after="0" w:before="0" w:lineRule="auto"/>
        <w:ind w:left="70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993" w:hanging="283.9999999999999"/>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Propuesta del Reglamento de Manejo de Información en el Instituto Tecnológico de Costa Rica, de acuerdo con el Reglamento de Normalización.</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76" w:lineRule="auto"/>
        <w:ind w:left="709" w:hanging="283"/>
        <w:contextualSpacing w:val="1"/>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Administración, a la Secretaría del Consejo Institucional y a la Auditoría Interna, establecer los procedimientos para el manejo de la información confidencial, según el tipo de asunto e informe al Consejo Institucional sobre su implementación, a más tardar el 30 de junio del 2011.  (Según formato adjunto)…”</w:t>
      </w:r>
      <w:r w:rsidDel="00000000" w:rsidR="00000000" w:rsidRPr="00000000">
        <w:rPr>
          <w:rtl w:val="0"/>
        </w:rPr>
      </w:r>
    </w:p>
    <w:p w:rsidR="00000000" w:rsidDel="00000000" w:rsidP="00000000" w:rsidRDefault="00000000" w:rsidRPr="00000000">
      <w:pPr>
        <w:spacing w:after="0" w:before="0" w:line="276"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426"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Formulario de Solicitud de Prórroga de la Rectoría, con fecha 12 de noviembre de 2012, en el cual solicita prórroga al 26 de abril de 2013, para presentar el Reglamento de Manejo de Información; con la siguiente justificación: “</w:t>
      </w:r>
      <w:r w:rsidDel="00000000" w:rsidR="00000000" w:rsidRPr="00000000">
        <w:rPr>
          <w:rFonts w:ascii="Arial" w:cs="Arial" w:eastAsia="Arial" w:hAnsi="Arial"/>
          <w:i w:val="1"/>
          <w:sz w:val="22"/>
          <w:szCs w:val="22"/>
          <w:vertAlign w:val="baseline"/>
          <w:rtl w:val="0"/>
        </w:rPr>
        <w:t xml:space="preserve">El acuerdo incluye la presentación de dos propuestas: El Reglamento de Ética y el Reglamento de Manejo de Información.  A la fecha, se tiene un avance del 95% de la propuesta de Reglamento de Ética, el cual ya fue presentado ante el Consejo de Rectoría y se encuentra en revisión de algunos miembros del mismo, previo al procedimiento indicado en el Reglamento de Normalización.  Dado lo anterior, se pretende continuar con la redacción del documento de Manejo de Información”.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En reunión de la Comisión de Planificación y Administración No. 499-2012, del 15 de noviembre de 2012, se conoció la solicitud planteada por la Administración y se dispuso elevar la propuesta al pleno del Consejo Institucional y  conceder una prórroga para la presentación del Reglamento de Ética, a más tardar el 26 de noviembre de 2012; la propuesta del Reglamento de Manejo de Información y el Procedimiento para el manejo de la información confidencial en el Instituto Tecnológico de Costa Rica, a más tardar el 15 de febrero de 2013.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ind w:left="1410" w:hanging="1410"/>
        <w:contextualSpacing w:val="0"/>
        <w:jc w:val="both"/>
      </w:pPr>
      <w:r w:rsidDel="00000000" w:rsidR="00000000" w:rsidRPr="00000000">
        <w:rPr>
          <w:rtl w:val="0"/>
        </w:rPr>
      </w:r>
    </w:p>
    <w:p w:rsidR="00000000" w:rsidDel="00000000" w:rsidP="00000000" w:rsidRDefault="00000000" w:rsidRPr="00000000">
      <w:pPr>
        <w:numPr>
          <w:ilvl w:val="1"/>
          <w:numId w:val="1"/>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Conceder la prórroga solicitada por la Administración, para la presentación del Reglamento de Ética, a más tardar el 03 de diciembre de 2012;  la propuesta del Reglamento de Manejo de Información en el Instituto Tecnológico de Costa Rica y el Procedimiento para el manejo de la información confidencial, a más tardar el 15 de febrero de 2013, para que se atienda el acuerdo tomado en la Sesión Ordinaria No. 2703, Artículo 9, del 10 de marzo del 2011.</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1"/>
          <w:numId w:val="1"/>
        </w:numPr>
        <w:ind w:left="426" w:hanging="426"/>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Asesoría Legal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tc>
      </w:tr>
    </w:tbl>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sectPr>
      <w:headerReference r:id="rId5" w:type="default"/>
      <w:headerReference r:id="rId6" w:type="first"/>
      <w:pgSz w:h="15840" w:w="12240"/>
      <w:pgMar w:bottom="851" w:top="1988"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1134"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2794, Artículo 8,  del 21 de noviembre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1134"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Roman"/>
      <w:lvlText w:val="%1."/>
      <w:lvlJc w:val="right"/>
      <w:pPr>
        <w:ind w:left="2160" w:firstLine="19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