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SCI-407-2013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Luis Paulino Méndez, Rector a.i.</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Sra. Noemy Gutiérrez, Comisión Asuntos Hacendarios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Asamblea Legislativa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22 de mayo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2"/>
                <w:szCs w:val="22"/>
                <w:vertAlign w:val="baseline"/>
                <w:rtl w:val="0"/>
              </w:rPr>
              <w:t xml:space="preserve">Sesión Ordinaria No. 2819 Artículo 12, del 22 de mayo de 2013.  Pronunciamiento del Consejo Institucional sobre el Proyecto de Ley “Reforma del inciso ch), Artículo 23 de la Ley de Regulación de Intermediación Financiera de Organizaciones Cooperativas, Ley No. 7391 y sus Reformas”</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240" w:line="240" w:lineRule="auto"/>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Sesión Ordinaria No. 2816 del Consejo Institucional, celebrada el 02 de mayo de 2013, se conoce oficio sin referencia con fecha de recibido 29 de abril de 2013, suscrita por la señora Noemy Gutiérrez, de la Comisión de Asuntos Hacendarios de la Asamblea Legislativa, dirigida  al Dr. Julio C. Calvo, Rector del ITCR, en el cual solicita criterio del  Proyecto “Reforma al inciso ch) del Artículo 23 de la Ley de Regulación de Intermediación Financiera de Organizaciones Cooperativas, Ley Nº 7391 y sus Reformas, Expediente No. 18.703, para el criterio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oficio SCI-327-2013,  con fecha  07 de mayo  de  2013, suscrito por la Licda. Bertalía Sánchez Salas, Directora Ejecutiva de la Secretaría del Consejo Institucional, dirigido al Dr. Alejandro Masís, Director, Escuela de Administración de Empresas, se solicita criterio sobre el pronunciamiento del Proyecto “Reforma al inciso ch) del Artículo 23 de la Ley de Regulación de Intermediación Financiera de Organizaciones Cooperativas, Ley No 7391 y sus Reformas”, expediente No. 18.703.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AE-261-2013,  con fecha de recibido 16 de mayo del 2013, suscrito por el Dr. Alejandro Masís, Director de la Escuela Administración de Empresas, dirigido a la Licda. Bertalía Sánchez Salas, Directora Ejecutiva de la Secretaría del  Consejo Institucional, en el cual adjunta el criterio de la Escuela de Administración de Empresas, sobre  el pronunciamiento del Proyecto “Reforma del Inciso ch) del Artículo 23 de la Ley de Regulación de Intermediación Financiera de Organizaciones Cooperativas, Ley N.º 7391 y sus Reformas, el cual fue realizado por el Dr. Arnoldo Araya Leandro, profesor de la Escuela y especialista en el área Financiera, y que en lo conducente dice:</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tl w:val="0"/>
        </w:rPr>
      </w:r>
    </w:p>
    <w:p w:rsidR="00000000" w:rsidDel="00000000" w:rsidP="00000000" w:rsidRDefault="00000000" w:rsidRPr="00000000">
      <w:pPr>
        <w:ind w:left="567" w:right="423" w:firstLine="0"/>
        <w:contextualSpacing w:val="0"/>
        <w:jc w:val="both"/>
      </w:pPr>
      <w:r w:rsidDel="00000000" w:rsidR="00000000" w:rsidRPr="00000000">
        <w:rPr>
          <w:rFonts w:ascii="Arial" w:cs="Arial" w:eastAsia="Arial" w:hAnsi="Arial"/>
          <w:b w:val="1"/>
          <w:i w:val="1"/>
          <w:sz w:val="22"/>
          <w:szCs w:val="22"/>
          <w:vertAlign w:val="baseline"/>
          <w:rtl w:val="0"/>
        </w:rPr>
        <w:t xml:space="preserve">“Consideraciones:</w:t>
      </w:r>
      <w:r w:rsidDel="00000000" w:rsidR="00000000" w:rsidRPr="00000000">
        <w:rPr>
          <w:rtl w:val="0"/>
        </w:rPr>
      </w:r>
    </w:p>
    <w:p w:rsidR="00000000" w:rsidDel="00000000" w:rsidP="00000000" w:rsidRDefault="00000000" w:rsidRPr="00000000">
      <w:pPr>
        <w:ind w:left="567" w:right="423" w:firstLine="0"/>
        <w:contextualSpacing w:val="0"/>
        <w:jc w:val="both"/>
      </w:pPr>
      <w:r w:rsidDel="00000000" w:rsidR="00000000" w:rsidRPr="00000000">
        <w:rPr>
          <w:rtl w:val="0"/>
        </w:rPr>
      </w:r>
    </w:p>
    <w:p w:rsidR="00000000" w:rsidDel="00000000" w:rsidP="00000000" w:rsidRDefault="00000000" w:rsidRPr="00000000">
      <w:pPr>
        <w:ind w:left="567" w:right="423" w:firstLine="0"/>
        <w:contextualSpacing w:val="0"/>
        <w:jc w:val="both"/>
      </w:pPr>
      <w:r w:rsidDel="00000000" w:rsidR="00000000" w:rsidRPr="00000000">
        <w:rPr>
          <w:rFonts w:ascii="Arial" w:cs="Arial" w:eastAsia="Arial" w:hAnsi="Arial"/>
          <w:i w:val="1"/>
          <w:sz w:val="22"/>
          <w:szCs w:val="22"/>
          <w:vertAlign w:val="baseline"/>
          <w:rtl w:val="0"/>
        </w:rPr>
        <w:t xml:space="preserve">Dado que las cooperativas son asociaciones voluntarias de personas y no de capitales, y que tiene diversos tipos de asociados con diferentes intereses. </w:t>
      </w:r>
      <w:r w:rsidDel="00000000" w:rsidR="00000000" w:rsidRPr="00000000">
        <w:rPr>
          <w:rtl w:val="0"/>
        </w:rPr>
      </w:r>
    </w:p>
    <w:p w:rsidR="00000000" w:rsidDel="00000000" w:rsidP="00000000" w:rsidRDefault="00000000" w:rsidRPr="00000000">
      <w:pPr>
        <w:ind w:left="567" w:right="423" w:firstLine="0"/>
        <w:contextualSpacing w:val="0"/>
        <w:jc w:val="both"/>
      </w:pPr>
      <w:r w:rsidDel="00000000" w:rsidR="00000000" w:rsidRPr="00000000">
        <w:rPr>
          <w:rFonts w:ascii="Arial" w:cs="Arial" w:eastAsia="Arial" w:hAnsi="Arial"/>
          <w:i w:val="1"/>
          <w:sz w:val="22"/>
          <w:szCs w:val="22"/>
          <w:vertAlign w:val="baseline"/>
          <w:rtl w:val="0"/>
        </w:rPr>
        <w:t xml:space="preserve">Mientras que las Asociaciones Solidaristas son de los trabajadores y para los trabajadores, que les brindan un servicio a diario, con prontitud y satisfaciendo sus necesidades. Su Junta Directiva está integrada exclusivamente por trabajadores, con el fin que, a diferencia del sindicato o cooperativa, sean los propios trabajadores los que tomen sus decisiones y no políticos o poderes externos a ellos. De este modo, el trabajador aprende a decidir, a participar y, lo que es fundamental, administrar los recursos de la asociación, otorgar créditos y llevar a cabo diversos proyectos, toma conciencia de la importancia y papel de la empresa en una sociedad democrática, como eje de la economía. Asimismo estos fondos son fiscalizados por un  representante obrero y otro patronal. Al pasar estos fondos a dichas cooperativas se perdería dicho control.</w:t>
      </w:r>
      <w:r w:rsidDel="00000000" w:rsidR="00000000" w:rsidRPr="00000000">
        <w:rPr>
          <w:rtl w:val="0"/>
        </w:rPr>
      </w:r>
    </w:p>
    <w:p w:rsidR="00000000" w:rsidDel="00000000" w:rsidP="00000000" w:rsidRDefault="00000000" w:rsidRPr="00000000">
      <w:pPr>
        <w:ind w:left="567" w:right="423" w:firstLine="0"/>
        <w:contextualSpacing w:val="0"/>
        <w:jc w:val="both"/>
      </w:pPr>
      <w:r w:rsidDel="00000000" w:rsidR="00000000" w:rsidRPr="00000000">
        <w:rPr>
          <w:rFonts w:ascii="Arial" w:cs="Arial" w:eastAsia="Arial" w:hAnsi="Arial"/>
          <w:i w:val="1"/>
          <w:sz w:val="22"/>
          <w:szCs w:val="22"/>
          <w:vertAlign w:val="baseline"/>
          <w:rtl w:val="0"/>
        </w:rPr>
        <w:t xml:space="preserve">Además que los fines primordiales de las asociaciones solidaristas son procurar la justicia y la paz social, la armonía obrero-patronal y el desarrollo integral de sus asociados. </w:t>
      </w:r>
      <w:r w:rsidDel="00000000" w:rsidR="00000000" w:rsidRPr="00000000">
        <w:rPr>
          <w:rtl w:val="0"/>
        </w:rPr>
      </w:r>
    </w:p>
    <w:p w:rsidR="00000000" w:rsidDel="00000000" w:rsidP="00000000" w:rsidRDefault="00000000" w:rsidRPr="00000000">
      <w:pPr>
        <w:ind w:left="567" w:right="423" w:firstLine="0"/>
        <w:contextualSpacing w:val="0"/>
        <w:jc w:val="both"/>
      </w:pPr>
      <w:r w:rsidDel="00000000" w:rsidR="00000000" w:rsidRPr="00000000">
        <w:rPr>
          <w:rFonts w:ascii="Arial" w:cs="Arial" w:eastAsia="Arial" w:hAnsi="Arial"/>
          <w:i w:val="1"/>
          <w:sz w:val="22"/>
          <w:szCs w:val="22"/>
          <w:vertAlign w:val="baseline"/>
          <w:rtl w:val="0"/>
        </w:rPr>
        <w:t xml:space="preserve">El hacer esta modificación al artículo 23 inciso ch, puede ocasionar conflictos entre los trabajadores que debilitarían la paz y la armonía obrero-patronal.</w:t>
      </w:r>
      <w:r w:rsidDel="00000000" w:rsidR="00000000" w:rsidRPr="00000000">
        <w:rPr>
          <w:rtl w:val="0"/>
        </w:rPr>
      </w:r>
    </w:p>
    <w:p w:rsidR="00000000" w:rsidDel="00000000" w:rsidP="00000000" w:rsidRDefault="00000000" w:rsidRPr="00000000">
      <w:pPr>
        <w:ind w:left="567" w:right="423" w:firstLine="0"/>
        <w:contextualSpacing w:val="0"/>
        <w:jc w:val="both"/>
      </w:pPr>
      <w:r w:rsidDel="00000000" w:rsidR="00000000" w:rsidRPr="00000000">
        <w:rPr>
          <w:rtl w:val="0"/>
        </w:rPr>
      </w:r>
    </w:p>
    <w:p w:rsidR="00000000" w:rsidDel="00000000" w:rsidP="00000000" w:rsidRDefault="00000000" w:rsidRPr="00000000">
      <w:pPr>
        <w:ind w:left="567" w:right="423" w:firstLine="0"/>
        <w:contextualSpacing w:val="0"/>
        <w:jc w:val="both"/>
      </w:pPr>
      <w:r w:rsidDel="00000000" w:rsidR="00000000" w:rsidRPr="00000000">
        <w:rPr>
          <w:rFonts w:ascii="Arial" w:cs="Arial" w:eastAsia="Arial" w:hAnsi="Arial"/>
          <w:b w:val="1"/>
          <w:i w:val="1"/>
          <w:sz w:val="22"/>
          <w:szCs w:val="22"/>
          <w:vertAlign w:val="baseline"/>
          <w:rtl w:val="0"/>
        </w:rPr>
        <w:t xml:space="preserve">Recomendaciones:</w:t>
      </w:r>
      <w:r w:rsidDel="00000000" w:rsidR="00000000" w:rsidRPr="00000000">
        <w:rPr>
          <w:rtl w:val="0"/>
        </w:rPr>
      </w:r>
    </w:p>
    <w:p w:rsidR="00000000" w:rsidDel="00000000" w:rsidP="00000000" w:rsidRDefault="00000000" w:rsidRPr="00000000">
      <w:pPr>
        <w:ind w:left="567" w:right="423" w:firstLine="0"/>
        <w:contextualSpacing w:val="0"/>
        <w:jc w:val="both"/>
      </w:pPr>
      <w:r w:rsidDel="00000000" w:rsidR="00000000" w:rsidRPr="00000000">
        <w:rPr>
          <w:rtl w:val="0"/>
        </w:rPr>
      </w:r>
    </w:p>
    <w:p w:rsidR="00000000" w:rsidDel="00000000" w:rsidP="00000000" w:rsidRDefault="00000000" w:rsidRPr="00000000">
      <w:pPr>
        <w:ind w:left="567" w:right="423" w:firstLine="0"/>
        <w:contextualSpacing w:val="0"/>
        <w:jc w:val="both"/>
      </w:pPr>
      <w:r w:rsidDel="00000000" w:rsidR="00000000" w:rsidRPr="00000000">
        <w:rPr>
          <w:rFonts w:ascii="Arial" w:cs="Arial" w:eastAsia="Arial" w:hAnsi="Arial"/>
          <w:i w:val="1"/>
          <w:sz w:val="22"/>
          <w:szCs w:val="22"/>
          <w:vertAlign w:val="baseline"/>
          <w:rtl w:val="0"/>
        </w:rPr>
        <w:t xml:space="preserve">Por lo antes expuesto se recomienda:</w:t>
      </w:r>
      <w:r w:rsidDel="00000000" w:rsidR="00000000" w:rsidRPr="00000000">
        <w:rPr>
          <w:rtl w:val="0"/>
        </w:rPr>
      </w:r>
    </w:p>
    <w:p w:rsidR="00000000" w:rsidDel="00000000" w:rsidP="00000000" w:rsidRDefault="00000000" w:rsidRPr="00000000">
      <w:pPr>
        <w:ind w:left="567" w:right="423" w:firstLine="0"/>
        <w:contextualSpacing w:val="0"/>
        <w:jc w:val="both"/>
      </w:pPr>
      <w:r w:rsidDel="00000000" w:rsidR="00000000" w:rsidRPr="00000000">
        <w:rPr>
          <w:rFonts w:ascii="Arial" w:cs="Arial" w:eastAsia="Arial" w:hAnsi="Arial"/>
          <w:i w:val="1"/>
          <w:sz w:val="22"/>
          <w:szCs w:val="22"/>
          <w:vertAlign w:val="baseline"/>
          <w:rtl w:val="0"/>
        </w:rPr>
        <w:t xml:space="preserve">No apoyar la reforma del inciso ch), del artículo 23, de la Ley de Regulación de Intermediación Financiera de Organizaciones Cooperativas,   No. 7391, de 27 de abril de 1994 y sus Reformas.”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pPr>
      <w:r w:rsidDel="00000000" w:rsidR="00000000" w:rsidRPr="00000000">
        <w:rPr>
          <w:rFonts w:ascii="Arial" w:cs="Arial" w:eastAsia="Arial" w:hAnsi="Arial"/>
          <w:vertAlign w:val="baseline"/>
          <w:rtl w:val="0"/>
        </w:rPr>
        <w:t xml:space="preserve">Pronunciarse en contra del Proyecto </w:t>
      </w:r>
      <w:r w:rsidDel="00000000" w:rsidR="00000000" w:rsidRPr="00000000">
        <w:rPr>
          <w:rFonts w:ascii="Arial" w:cs="Arial" w:eastAsia="Arial" w:hAnsi="Arial"/>
          <w:i w:val="1"/>
          <w:vertAlign w:val="baseline"/>
          <w:rtl w:val="0"/>
        </w:rPr>
        <w:t xml:space="preserve">“Reforma al inciso ch) del Artículo 23 de la Ley de Regulación de Intermediación Financiera de Organizaciones Cooperativas, Ley Nº 7391 y sus Reformas, Expediente No. 18.703</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Escuela de Administración de Empresas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2819, Artículo 12, del 22 de mayo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307" w:firstLine="6947"/>
      </w:pPr>
      <w:rPr>
        <w:b w:val="1"/>
        <w:i w:val="0"/>
        <w:vertAlign w:val="baseline"/>
      </w:rPr>
    </w:lvl>
    <w:lvl w:ilvl="1">
      <w:start w:val="1"/>
      <w:numFmt w:val="lowerLetter"/>
      <w:lvlText w:val="%2."/>
      <w:lvlJc w:val="left"/>
      <w:pPr>
        <w:ind w:left="2148" w:firstLine="1788"/>
      </w:pPr>
      <w:rPr>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