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SCI-578-2013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448.0" w:type="dxa"/>
              <w:jc w:val="left"/>
              <w:tblLayout w:type="fixed"/>
              <w:tblLook w:val="0000"/>
            </w:tblPr>
            <w:tblGrid>
              <w:gridCol w:w="34"/>
              <w:gridCol w:w="9352"/>
              <w:gridCol w:w="62"/>
              <w:tblGridChange w:id="0">
                <w:tblGrid>
                  <w:gridCol w:w="34"/>
                  <w:gridCol w:w="9352"/>
                  <w:gridCol w:w="62"/>
                </w:tblGrid>
              </w:tblGridChange>
            </w:tblGrid>
            <w:tr>
              <w:tc>
                <w:tcPr>
                  <w:gridSpan w:val="3"/>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Guiselle Segnini, Gerente Área Servicios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Dirección Fiscalización Operativa y Evaluativa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Contraloría General de la República</w:t>
                  </w:r>
                  <w:r w:rsidDel="00000000" w:rsidR="00000000" w:rsidRPr="00000000">
                    <w:rPr>
                      <w:rtl w:val="0"/>
                    </w:rPr>
                  </w:r>
                </w:p>
              </w:tc>
            </w:tr>
            <w:tr>
              <w:tc>
                <w:tcPr>
                  <w:gridSpan w:val="3"/>
                </w:tcPr>
                <w:p w:rsidR="00000000" w:rsidDel="00000000" w:rsidP="00000000" w:rsidRDefault="00000000" w:rsidRPr="00000000">
                  <w:pPr>
                    <w:ind w:left="18" w:firstLine="0"/>
                    <w:contextualSpacing w:val="0"/>
                    <w:jc w:val="both"/>
                  </w:pPr>
                  <w:r w:rsidDel="00000000" w:rsidR="00000000" w:rsidRPr="00000000">
                    <w:rPr>
                      <w:rFonts w:ascii="Arial" w:cs="Arial" w:eastAsia="Arial" w:hAnsi="Arial"/>
                      <w:sz w:val="22"/>
                      <w:szCs w:val="22"/>
                      <w:vertAlign w:val="baseline"/>
                      <w:rtl w:val="0"/>
                    </w:rPr>
                    <w:t xml:space="preserve">MAE. William Vives, Vicerrector de Administración </w:t>
                  </w:r>
                  <w:r w:rsidDel="00000000" w:rsidR="00000000" w:rsidRPr="00000000">
                    <w:rPr>
                      <w:rtl w:val="0"/>
                    </w:rPr>
                  </w:r>
                </w:p>
                <w:p w:rsidR="00000000" w:rsidDel="00000000" w:rsidP="00000000" w:rsidRDefault="00000000" w:rsidRPr="00000000">
                  <w:pPr>
                    <w:ind w:left="18" w:firstLine="0"/>
                    <w:contextualSpacing w:val="0"/>
                    <w:jc w:val="both"/>
                  </w:pPr>
                  <w:r w:rsidDel="00000000" w:rsidR="00000000" w:rsidRPr="00000000">
                    <w:rPr>
                      <w:rFonts w:ascii="Arial" w:cs="Arial" w:eastAsia="Arial" w:hAnsi="Arial"/>
                      <w:sz w:val="22"/>
                      <w:szCs w:val="22"/>
                      <w:vertAlign w:val="baseline"/>
                      <w:rtl w:val="0"/>
                    </w:rPr>
                    <w:t xml:space="preserve">Licda. Silvia Watson, Directora a.i. Departamento Financiero Contable</w:t>
                  </w:r>
                  <w:r w:rsidDel="00000000" w:rsidR="00000000" w:rsidRPr="00000000">
                    <w:rPr>
                      <w:rtl w:val="0"/>
                    </w:rPr>
                  </w:r>
                </w:p>
                <w:p w:rsidR="00000000" w:rsidDel="00000000" w:rsidP="00000000" w:rsidRDefault="00000000" w:rsidRPr="00000000">
                  <w:pPr>
                    <w:ind w:left="18" w:firstLine="0"/>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318"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de julio del 2013</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2828 Artículo 14, del 17 de julio de 2013.  Informe de Ejecución Presupuestaria al 30 de junio de 2013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before="240" w:lineRule="auto"/>
        <w:ind w:left="465" w:hanging="465"/>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el oficio R-0633-2013, del 15 de julio de 2013, suscrito por el Dr. Julio Calvo Alvarado, Rector, dirigido al Consejo Institucional, en el cual adjunta el Informe de Ejecución Presupuestaria al 30 de junio de 2013, con el propósito de que sea conocido por el Consejo Institucional y posteriormente remitido a la Contraloría General de la República.  Informa además, que el Consejo de Rectoría dio por conocido el Informe en la Sesión No. 23-2013, Artículo 6, del 15 de julio de 2013</w:t>
      </w:r>
      <w:r w:rsidDel="00000000" w:rsidR="00000000" w:rsidRPr="00000000">
        <w:rPr>
          <w:rtl w:val="0"/>
        </w:rPr>
      </w:r>
    </w:p>
    <w:p w:rsidR="00000000" w:rsidDel="00000000" w:rsidP="00000000" w:rsidRDefault="00000000" w:rsidRPr="00000000">
      <w:pPr>
        <w:numPr>
          <w:ilvl w:val="0"/>
          <w:numId w:val="2"/>
        </w:numPr>
        <w:spacing w:before="240" w:lineRule="auto"/>
        <w:ind w:left="465" w:hanging="465"/>
        <w:jc w:val="both"/>
        <w:rPr>
          <w:rFonts w:ascii="Arial" w:cs="Arial" w:eastAsia="Arial" w:hAnsi="Arial"/>
        </w:rPr>
      </w:pPr>
      <w:r w:rsidDel="00000000" w:rsidR="00000000" w:rsidRPr="00000000">
        <w:rPr>
          <w:rFonts w:ascii="Arial" w:cs="Arial" w:eastAsia="Arial" w:hAnsi="Arial"/>
          <w:vertAlign w:val="baseline"/>
          <w:rtl w:val="0"/>
        </w:rPr>
        <w:t xml:space="preserve">De conformidad con lo establecido en las Normas Técnicas sobre Presupuesto Público, emitidas por medio de Resolución R-DC-024-2012 del Despacho Contralor, a las nueve horas del veintiséis de marzo de dos mil doce, la información de la ejecución del presupuesto correspondiente al segundo trimestre del año (abril-junio), que conforme con lo establecido en la norma No. 4.3.15 debe presentarse ante el Órgano Contralor y debe incorporarse al Sistema de Planes y Presupuestos (SIPP), a más tardar 15 días hábiles posteriores a la fecha de cierre, según el plazo establecido en la norma 4.3.14 (a más tardar el 19 de julio).</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1"/>
        </w:numPr>
        <w:spacing w:before="240" w:lineRule="auto"/>
        <w:ind w:left="425" w:hanging="425"/>
        <w:jc w:val="both"/>
        <w:rPr>
          <w:rFonts w:ascii="Arial" w:cs="Arial" w:eastAsia="Arial" w:hAnsi="Arial"/>
        </w:rPr>
      </w:pPr>
      <w:r w:rsidDel="00000000" w:rsidR="00000000" w:rsidRPr="00000000">
        <w:rPr>
          <w:rFonts w:ascii="Arial" w:cs="Arial" w:eastAsia="Arial" w:hAnsi="Arial"/>
          <w:vertAlign w:val="baseline"/>
          <w:rtl w:val="0"/>
        </w:rPr>
        <w:t xml:space="preserve">Dar por conocido el Informe de Ejecución Presupuestaria al 30 de junio de 2013, según documento adjunto.</w:t>
      </w:r>
      <w:r w:rsidDel="00000000" w:rsidR="00000000" w:rsidRPr="00000000">
        <w:rPr>
          <w:rtl w:val="0"/>
        </w:rPr>
      </w:r>
    </w:p>
    <w:p w:rsidR="00000000" w:rsidDel="00000000" w:rsidP="00000000" w:rsidRDefault="00000000" w:rsidRPr="00000000">
      <w:pPr>
        <w:numPr>
          <w:ilvl w:val="0"/>
          <w:numId w:val="1"/>
        </w:numPr>
        <w:spacing w:before="240" w:lineRule="auto"/>
        <w:ind w:left="425" w:hanging="425"/>
        <w:jc w:val="both"/>
        <w:rPr>
          <w:rFonts w:ascii="Arial" w:cs="Arial" w:eastAsia="Arial" w:hAnsi="Arial"/>
        </w:rPr>
      </w:pPr>
      <w:r w:rsidDel="00000000" w:rsidR="00000000" w:rsidRPr="00000000">
        <w:rPr>
          <w:rFonts w:ascii="Arial" w:cs="Arial" w:eastAsia="Arial" w:hAnsi="Arial"/>
          <w:vertAlign w:val="baseline"/>
          <w:rtl w:val="0"/>
        </w:rPr>
        <w:t xml:space="preserve">Remitir a la Contraloría General de la República el Informe de Ejecución Presupuestaria al 30 de junio de 2013.</w:t>
      </w:r>
      <w:r w:rsidDel="00000000" w:rsidR="00000000" w:rsidRPr="00000000">
        <w:rPr>
          <w:rtl w:val="0"/>
        </w:rPr>
      </w:r>
    </w:p>
    <w:p w:rsidR="00000000" w:rsidDel="00000000" w:rsidP="00000000" w:rsidRDefault="00000000" w:rsidRPr="00000000">
      <w:pPr>
        <w:numPr>
          <w:ilvl w:val="0"/>
          <w:numId w:val="1"/>
        </w:numPr>
        <w:spacing w:before="240" w:lineRule="auto"/>
        <w:ind w:left="425" w:hanging="425"/>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que presente una estrategia que permita una mejora en la ejecución presupuestaria tendiente a disminuir el monto del superávit en los presupuestos, a más tardar el 30 de agosto de 2013</w:t>
      </w:r>
      <w:r w:rsidDel="00000000" w:rsidR="00000000" w:rsidRPr="00000000">
        <w:rPr>
          <w:rtl w:val="0"/>
        </w:rPr>
      </w:r>
    </w:p>
    <w:p w:rsidR="00000000" w:rsidDel="00000000" w:rsidP="00000000" w:rsidRDefault="00000000" w:rsidRPr="00000000">
      <w:pPr>
        <w:numPr>
          <w:ilvl w:val="0"/>
          <w:numId w:val="1"/>
        </w:numPr>
        <w:spacing w:before="240" w:lineRule="auto"/>
        <w:ind w:left="425" w:hanging="425"/>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No.2828, Artículo 14,  del 17 de julio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825"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