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SCI-648-2013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Ing. Luis Paulino Méndez,  Vicerrector de Docencia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William Vives, Vicerrector de Administración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Dra. Claudia Madrizova, Vicerrectora Vida Estudiantil y Servicios Académicos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Wilberth Mata Fonseca, Director Centro Académico Limón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Alejandro Masís, Director de la Escuela de Administración de Empresas</w:t>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7 de agosto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keepNext w:val="1"/>
              <w:contextualSpacing w:val="0"/>
              <w:jc w:val="both"/>
            </w:pPr>
            <w:r w:rsidDel="00000000" w:rsidR="00000000" w:rsidRPr="00000000">
              <w:rPr>
                <w:rFonts w:ascii="Arial" w:cs="Arial" w:eastAsia="Arial" w:hAnsi="Arial"/>
                <w:b w:val="1"/>
                <w:sz w:val="22"/>
                <w:szCs w:val="22"/>
                <w:vertAlign w:val="baseline"/>
                <w:rtl w:val="0"/>
              </w:rPr>
              <w:t xml:space="preserve">Sesión Ordinaria No. 2831 Artículo 13, del 7 de agosto de 2013.  Apertura de la Carrera en Administración de Empresas con grado de Bachillerato en el Centro Académico de Limón</w:t>
            </w:r>
            <w:r w:rsidDel="00000000" w:rsidR="00000000" w:rsidRPr="00000000">
              <w:rPr>
                <w:rtl w:val="0"/>
              </w:rPr>
            </w:r>
          </w:p>
          <w:p w:rsidR="00000000" w:rsidDel="00000000" w:rsidP="00000000" w:rsidRDefault="00000000" w:rsidRPr="00000000">
            <w:pPr>
              <w:keepNext w:val="1"/>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360" w:firstLine="0"/>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2825, Artículo 14, celebrada el 19 de junio de 2013, acordó:</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3"/>
        </w:numPr>
        <w:ind w:left="1080" w:right="483"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“Crear el Centro Académico de Limón (CAL), que tendrá como objetivo fortalecer y potenciar las capacidades de los habitantes de la zona atlántica por medio de una educación de calidad (a nivel técnico, de grado y de posgrado), así como el desarrollo de proyectos de investigación y extensión de pertinencia local, de acuerdo con la propuesta adjunta al oficio ViDa-549-2013.</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tl w:val="0"/>
        </w:rPr>
      </w:r>
    </w:p>
    <w:p w:rsidR="00000000" w:rsidDel="00000000" w:rsidP="00000000" w:rsidRDefault="00000000" w:rsidRPr="00000000">
      <w:pPr>
        <w:numPr>
          <w:ilvl w:val="0"/>
          <w:numId w:val="3"/>
        </w:numPr>
        <w:ind w:left="1080" w:right="483"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Solicitar a la Administración realizar las gestiones necesarias con el fin de iniciar labores en el Centro Académico de Limón en el 2014. </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tl w:val="0"/>
        </w:rPr>
      </w:r>
    </w:p>
    <w:p w:rsidR="00000000" w:rsidDel="00000000" w:rsidP="00000000" w:rsidRDefault="00000000" w:rsidRPr="00000000">
      <w:pPr>
        <w:numPr>
          <w:ilvl w:val="0"/>
          <w:numId w:val="3"/>
        </w:numPr>
        <w:ind w:left="1080" w:right="483"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Solicitar a la Administración que además, busque otras opciones a corto, mediano y largo plazo, para abrir ofertas educativas de interés en otros cantones de la Provincia, considerando entre otros las necesidades y ofrecimientos de las comunidades de la región y presente el estudio en un lapso de dos años, con informes de avance semestrales.</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tl w:val="0"/>
        </w:rPr>
      </w:r>
    </w:p>
    <w:p w:rsidR="00000000" w:rsidDel="00000000" w:rsidP="00000000" w:rsidRDefault="00000000" w:rsidRPr="00000000">
      <w:pPr>
        <w:numPr>
          <w:ilvl w:val="0"/>
          <w:numId w:val="3"/>
        </w:numPr>
        <w:ind w:left="1080" w:right="483"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ViDa-670-2013, del 01 de agosto de 2013, suscrito por el Ing.  Luis Paulino Méndez B., Presidente del Consejo Vicerrectoría de Docencia, dirigido al Dr.  Julio Calvo, Presidente del Consejo Institucional, con copia al Ing.  Jorge Chaves, Coordinador de la Comisión de Asuntos Académicos, en el cual remite Comunicado de Acuerdo, Sesión Ordinaria 06-2013, Artículo 5, inciso d del 31 de julio del 2013, Aval de la apertura de la Carrera en Administración de Empresas con grado de Bachillerato en el Centro Académico de Limón, el cual señala:</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ind w:left="334" w:right="483"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“CONSIDERANDO QUE:</w:t>
      </w:r>
      <w:r w:rsidDel="00000000" w:rsidR="00000000" w:rsidRPr="00000000">
        <w:rPr>
          <w:rtl w:val="0"/>
        </w:rPr>
      </w:r>
    </w:p>
    <w:p w:rsidR="00000000" w:rsidDel="00000000" w:rsidP="00000000" w:rsidRDefault="00000000" w:rsidRPr="00000000">
      <w:pPr>
        <w:ind w:right="483"/>
        <w:contextualSpacing w:val="0"/>
        <w:jc w:val="both"/>
      </w:pPr>
      <w:r w:rsidDel="00000000" w:rsidR="00000000" w:rsidRPr="00000000">
        <w:rPr>
          <w:rtl w:val="0"/>
        </w:rPr>
      </w:r>
    </w:p>
    <w:p w:rsidR="00000000" w:rsidDel="00000000" w:rsidP="00000000" w:rsidRDefault="00000000" w:rsidRPr="00000000">
      <w:pPr>
        <w:numPr>
          <w:ilvl w:val="0"/>
          <w:numId w:val="4"/>
        </w:numPr>
        <w:ind w:left="604" w:right="483" w:hanging="27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La Asamblea Legislativa aprobó la Ley 9131 “Reforma del artículo 3º de Ley No. 6450, del 15 de Julio de 1980 y sus Reformas”.  Dicha ley fue publicada en la Gaceta 87 del 8 de mayo de 2013.</w:t>
      </w:r>
      <w:r w:rsidDel="00000000" w:rsidR="00000000" w:rsidRPr="00000000">
        <w:rPr>
          <w:rtl w:val="0"/>
        </w:rPr>
      </w:r>
    </w:p>
    <w:p w:rsidR="00000000" w:rsidDel="00000000" w:rsidP="00000000" w:rsidRDefault="00000000" w:rsidRPr="00000000">
      <w:pPr>
        <w:ind w:left="604" w:right="483" w:firstLine="0"/>
        <w:contextualSpacing w:val="0"/>
        <w:jc w:val="both"/>
      </w:pPr>
      <w:r w:rsidDel="00000000" w:rsidR="00000000" w:rsidRPr="00000000">
        <w:rPr>
          <w:rtl w:val="0"/>
        </w:rPr>
      </w:r>
    </w:p>
    <w:p w:rsidR="00000000" w:rsidDel="00000000" w:rsidP="00000000" w:rsidRDefault="00000000" w:rsidRPr="00000000">
      <w:pPr>
        <w:numPr>
          <w:ilvl w:val="0"/>
          <w:numId w:val="4"/>
        </w:numPr>
        <w:ind w:left="604" w:right="483" w:hanging="27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Mediante la Ley 9131, se le otorga al ITCR recursos adicionales con el objetivo específico de que abrir sedes regionales en la Provincia de Limón y en la Península de Osa.  Los recursos estarán disponibles a partir del año 2014.</w:t>
      </w:r>
      <w:r w:rsidDel="00000000" w:rsidR="00000000" w:rsidRPr="00000000">
        <w:rPr>
          <w:rtl w:val="0"/>
        </w:rPr>
      </w:r>
    </w:p>
    <w:p w:rsidR="00000000" w:rsidDel="00000000" w:rsidP="00000000" w:rsidRDefault="00000000" w:rsidRPr="00000000">
      <w:pPr>
        <w:ind w:left="334" w:right="483" w:firstLine="0"/>
        <w:contextualSpacing w:val="0"/>
        <w:jc w:val="both"/>
      </w:pPr>
      <w:r w:rsidDel="00000000" w:rsidR="00000000" w:rsidRPr="00000000">
        <w:rPr>
          <w:rtl w:val="0"/>
        </w:rPr>
      </w:r>
    </w:p>
    <w:p w:rsidR="00000000" w:rsidDel="00000000" w:rsidP="00000000" w:rsidRDefault="00000000" w:rsidRPr="00000000">
      <w:pPr>
        <w:numPr>
          <w:ilvl w:val="0"/>
          <w:numId w:val="4"/>
        </w:numPr>
        <w:ind w:left="604" w:right="483" w:hanging="27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En los meses de Noviembre y Diciembre de 2012, se realizan estudios en la provincia de Limón, para establecer el perfil del profesional necesario para apoyar el modelo de desarrollo impulsado por el Estado.  De dicho estudio se deriva la prioridad de carreras de Ingeniería Industrial, Ingeniería en Mantenimiento Industrial, Ingeniería en Computación y la carrera de Administración de Empresas, entre otras opciones académicas ofertadas por el ITCR.</w:t>
      </w:r>
      <w:r w:rsidDel="00000000" w:rsidR="00000000" w:rsidRPr="00000000">
        <w:rPr>
          <w:rtl w:val="0"/>
        </w:rPr>
      </w:r>
    </w:p>
    <w:p w:rsidR="00000000" w:rsidDel="00000000" w:rsidP="00000000" w:rsidRDefault="00000000" w:rsidRPr="00000000">
      <w:pPr>
        <w:ind w:left="604" w:right="483" w:firstLine="0"/>
        <w:contextualSpacing w:val="0"/>
        <w:jc w:val="both"/>
      </w:pPr>
      <w:r w:rsidDel="00000000" w:rsidR="00000000" w:rsidRPr="00000000">
        <w:rPr>
          <w:rtl w:val="0"/>
        </w:rPr>
      </w:r>
    </w:p>
    <w:p w:rsidR="00000000" w:rsidDel="00000000" w:rsidP="00000000" w:rsidRDefault="00000000" w:rsidRPr="00000000">
      <w:pPr>
        <w:numPr>
          <w:ilvl w:val="0"/>
          <w:numId w:val="4"/>
        </w:numPr>
        <w:ind w:left="604" w:right="483" w:hanging="27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 El Consejo Institucional en Sesión No.  2825, artículo 14, del 19 de Junio de 2013, aprobó la creación del Centro Académico en Limón, en el Cantón Central, “que tendrá como objetivo fortalecer y potenciar las capacidades de los habitantes de la zona atlántica, por medio de una educación de calidad (a nivel técnico, de grado y de posgrado), así como el desarrollo de proyectos de investigación y de extensión de pertinencia local, de acuerdo con la propuesta adjunta en el oficio ViDa-549-2013” </w:t>
      </w:r>
      <w:r w:rsidDel="00000000" w:rsidR="00000000" w:rsidRPr="00000000">
        <w:rPr>
          <w:rtl w:val="0"/>
        </w:rPr>
      </w:r>
    </w:p>
    <w:p w:rsidR="00000000" w:rsidDel="00000000" w:rsidP="00000000" w:rsidRDefault="00000000" w:rsidRPr="00000000">
      <w:pPr>
        <w:ind w:left="604" w:right="483" w:firstLine="0"/>
        <w:contextualSpacing w:val="0"/>
        <w:jc w:val="both"/>
      </w:pPr>
      <w:r w:rsidDel="00000000" w:rsidR="00000000" w:rsidRPr="00000000">
        <w:rPr>
          <w:rtl w:val="0"/>
        </w:rPr>
      </w:r>
    </w:p>
    <w:p w:rsidR="00000000" w:rsidDel="00000000" w:rsidP="00000000" w:rsidRDefault="00000000" w:rsidRPr="00000000">
      <w:pPr>
        <w:numPr>
          <w:ilvl w:val="0"/>
          <w:numId w:val="4"/>
        </w:numPr>
        <w:ind w:left="604" w:right="483" w:hanging="27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Mediante acuerdo del Consejo de Escuela de la Sesión 14-2013 del 22 de julio de 2013, la Escuela de Administración de Empresas dio el aval para la apertura del programa de bachillerato en Administración de Empresas en el Centro Académico de Limón, articulado con el Diplomado en Dirección de Empresas, en el Marco del Convenio de Articulación entre la Educación Superior y la Educación Para- Universitaria.</w:t>
      </w:r>
      <w:r w:rsidDel="00000000" w:rsidR="00000000" w:rsidRPr="00000000">
        <w:rPr>
          <w:rtl w:val="0"/>
        </w:rPr>
      </w:r>
    </w:p>
    <w:p w:rsidR="00000000" w:rsidDel="00000000" w:rsidP="00000000" w:rsidRDefault="00000000" w:rsidRPr="00000000">
      <w:pPr>
        <w:ind w:left="604" w:right="483" w:firstLine="0"/>
        <w:contextualSpacing w:val="0"/>
        <w:jc w:val="both"/>
      </w:pPr>
      <w:r w:rsidDel="00000000" w:rsidR="00000000" w:rsidRPr="00000000">
        <w:rPr>
          <w:rtl w:val="0"/>
        </w:rPr>
      </w:r>
    </w:p>
    <w:p w:rsidR="00000000" w:rsidDel="00000000" w:rsidP="00000000" w:rsidRDefault="00000000" w:rsidRPr="00000000">
      <w:pPr>
        <w:numPr>
          <w:ilvl w:val="0"/>
          <w:numId w:val="4"/>
        </w:numPr>
        <w:ind w:left="604" w:right="483" w:hanging="27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De acuerdo con el artículo 40, inciso b, del Estatuto Orgánico es función específica del Consejo de Docencia “Pronunciarse sobre la creación, fusión, modificación, traslado o eliminación de carreras y programas docentes del Instituto”.</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ind w:left="810" w:right="483"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SE ACUERDA:</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5"/>
        </w:numPr>
        <w:ind w:left="1080" w:right="483" w:hanging="270"/>
        <w:jc w:val="both"/>
        <w:rPr>
          <w:rFonts w:ascii="Arial" w:cs="Arial" w:eastAsia="Arial" w:hAnsi="Arial"/>
          <w:color w:val="000000"/>
          <w:sz w:val="20"/>
          <w:szCs w:val="20"/>
        </w:rPr>
      </w:pPr>
      <w:r w:rsidDel="00000000" w:rsidR="00000000" w:rsidRPr="00000000">
        <w:rPr>
          <w:rFonts w:ascii="Arial" w:cs="Arial" w:eastAsia="Arial" w:hAnsi="Arial"/>
          <w:i w:val="1"/>
          <w:color w:val="000000"/>
          <w:sz w:val="20"/>
          <w:szCs w:val="20"/>
          <w:vertAlign w:val="baseline"/>
          <w:rtl w:val="0"/>
        </w:rPr>
        <w:t xml:space="preserve">Avalar la apertura de la Carrera de Administración de Empresas, grado Bachillerato, Centro Académico de Limón, articulado con el Diplomado en Dirección de Empresas ofrecido por el CUN-Limón, a partir del primer semestre  2014.</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tl w:val="0"/>
        </w:rPr>
      </w:r>
    </w:p>
    <w:p w:rsidR="00000000" w:rsidDel="00000000" w:rsidP="00000000" w:rsidRDefault="00000000" w:rsidRPr="00000000">
      <w:pPr>
        <w:numPr>
          <w:ilvl w:val="0"/>
          <w:numId w:val="5"/>
        </w:numPr>
        <w:ind w:left="1080" w:right="483" w:hanging="270"/>
        <w:jc w:val="both"/>
        <w:rPr>
          <w:rFonts w:ascii="Arial" w:cs="Arial" w:eastAsia="Arial" w:hAnsi="Arial"/>
          <w:color w:val="000000"/>
          <w:sz w:val="20"/>
          <w:szCs w:val="20"/>
        </w:rPr>
      </w:pPr>
      <w:r w:rsidDel="00000000" w:rsidR="00000000" w:rsidRPr="00000000">
        <w:rPr>
          <w:rFonts w:ascii="Arial" w:cs="Arial" w:eastAsia="Arial" w:hAnsi="Arial"/>
          <w:i w:val="1"/>
          <w:color w:val="000000"/>
          <w:sz w:val="20"/>
          <w:szCs w:val="20"/>
          <w:vertAlign w:val="baseline"/>
          <w:rtl w:val="0"/>
        </w:rPr>
        <w:t xml:space="preserve">Recomendar al Consejo Institucional la apertura de la Carrera de Administración de Empresas  en el Centro Académico de Limón con 40 cupos</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tl w:val="0"/>
        </w:rPr>
      </w:r>
    </w:p>
    <w:p w:rsidR="00000000" w:rsidDel="00000000" w:rsidP="00000000" w:rsidRDefault="00000000" w:rsidRPr="00000000">
      <w:pPr>
        <w:ind w:left="810" w:right="483"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correo electrónico, los integrantes de la Comisión de Asuntos Académicos, analizaron la propuesta de  apertura de la Carrera en Administración de Empresas con grado de Bachillerato, en el Centro Académico de Limón  y  al no tener objeción alguna, dispusieron elevar la propuesta al  pleno para lo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Autorizar la apertura de la Carrera en Administración de Empresas con grado de Bachillerato, articulado con el Diplomado </w:t>
      </w:r>
      <w:r w:rsidDel="00000000" w:rsidR="00000000" w:rsidRPr="00000000">
        <w:rPr>
          <w:rFonts w:ascii="Arial" w:cs="Arial" w:eastAsia="Arial" w:hAnsi="Arial"/>
          <w:color w:val="000000"/>
          <w:vertAlign w:val="baseline"/>
          <w:rtl w:val="0"/>
        </w:rPr>
        <w:t xml:space="preserve">en Dirección de Empresas ofrecido por el CUN-Limón</w:t>
      </w:r>
      <w:r w:rsidDel="00000000" w:rsidR="00000000" w:rsidRPr="00000000">
        <w:rPr>
          <w:rFonts w:ascii="Arial" w:cs="Arial" w:eastAsia="Arial" w:hAnsi="Arial"/>
          <w:i w:val="1"/>
          <w:color w:val="000000"/>
          <w:sz w:val="20"/>
          <w:szCs w:val="20"/>
          <w:vertAlign w:val="baseline"/>
          <w:rtl w:val="0"/>
        </w:rPr>
        <w:t xml:space="preserve">, </w:t>
      </w:r>
      <w:r w:rsidDel="00000000" w:rsidR="00000000" w:rsidRPr="00000000">
        <w:rPr>
          <w:rFonts w:ascii="Arial" w:cs="Arial" w:eastAsia="Arial" w:hAnsi="Arial"/>
          <w:vertAlign w:val="baseline"/>
          <w:rtl w:val="0"/>
        </w:rPr>
        <w:t xml:space="preserve"> con 40 cupos para impartirse en el Centro Académico de Limón del Instituto Tecnológico de Costa Rica, a partir del primer semestre del 2014.</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Crear la Unidad Académica para dicho Programa, Categoría 3, perteneciente a la Escuela de Administración de Empresas.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hacer las previsiones presupuestarias necesarias, de acuerdo con el estudio presentado que respalda esta propuesta, para dotar al programa de los recursos necesarios para su adecuado funcionamiento.</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1"/>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0"/>
        <w:spacing w:before="240"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TIE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2831, Artículo 13, del 7 de agosto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i w:val="0"/>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b w:val="1"/>
        <w:i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