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SCI-1032-2013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MAE. William Vives, Vicerrector de Administración</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 Celso Vargas, Presidente AFITEC </w:t>
            </w:r>
            <w:r w:rsidDel="00000000" w:rsidR="00000000" w:rsidRPr="00000000">
              <w:rPr>
                <w:rtl w:val="0"/>
              </w:rPr>
            </w:r>
          </w:p>
          <w:p w:rsidR="00000000" w:rsidDel="00000000" w:rsidP="00000000" w:rsidRDefault="00000000" w:rsidRPr="00000000">
            <w:pPr>
              <w:tabs>
                <w:tab w:val="left" w:pos="1451"/>
              </w:tabs>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6 de noviembre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2846 Artículo 7, del 06 de noviembre de 2013.  Autorización de uso de Reserva Salarial para atender el ajuste salarial del año 2014</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left" w:pos="42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RH-1867-2013, de fecha 24 de octubre de 2013, suscrito por la Dra. Hannia Rodríguez Mora, Directora del Departamento de Recursos Humanos, dirigido al Ing. Alexander Valerín Castro, Coordinador de la Comisión de Planificación y Administración, en el cual remite la Propuesta de “Autorización de uso de la Reserva Salarial, para atender el ajuste salarial del primer y segundo semestre del año 2014”, que a continuación se describe: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ind w:left="851" w:right="283" w:hanging="360"/>
        <w:contextualSpacing w:val="0"/>
        <w:jc w:val="both"/>
      </w:pPr>
      <w:r w:rsidDel="00000000" w:rsidR="00000000" w:rsidRPr="00000000">
        <w:rPr>
          <w:rFonts w:ascii="Arial" w:cs="Arial" w:eastAsia="Arial" w:hAnsi="Arial"/>
          <w:i w:val="1"/>
          <w:sz w:val="22"/>
          <w:szCs w:val="22"/>
          <w:vertAlign w:val="baseline"/>
          <w:rtl w:val="0"/>
        </w:rPr>
        <w:t xml:space="preserve">“1.  El Artículo 20 de la Segunda Convención Colectiva de Trabajo y sus reformas señala que: </w:t>
      </w:r>
      <w:r w:rsidDel="00000000" w:rsidR="00000000" w:rsidRPr="00000000">
        <w:rPr>
          <w:rtl w:val="0"/>
        </w:rPr>
      </w:r>
    </w:p>
    <w:p w:rsidR="00000000" w:rsidDel="00000000" w:rsidP="00000000" w:rsidRDefault="00000000" w:rsidRPr="00000000">
      <w:pPr>
        <w:spacing w:before="120" w:lineRule="auto"/>
        <w:ind w:left="992" w:right="284" w:firstLine="0"/>
        <w:contextualSpacing w:val="0"/>
        <w:jc w:val="both"/>
      </w:pPr>
      <w:r w:rsidDel="00000000" w:rsidR="00000000" w:rsidRPr="00000000">
        <w:rPr>
          <w:rFonts w:ascii="Arial" w:cs="Arial" w:eastAsia="Arial" w:hAnsi="Arial"/>
          <w:i w:val="1"/>
          <w:sz w:val="20"/>
          <w:szCs w:val="20"/>
          <w:vertAlign w:val="baseline"/>
          <w:rtl w:val="0"/>
        </w:rPr>
        <w:t xml:space="preserve">“Todo incremento salarial general para los trabajadores, ya sea éste a la base o como sobresueldo, deberá ser negociado y pactado con el titular de la presente Convención Colectiva de Trabajo, y mediante los procedimientos que aquí se establecen.”</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882" w:right="28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proceso de negociación inició el 18 de setiembre de 2013 y culminó el 14 de octubre de 2013.</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851" w:right="28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14 de octubre de 2013, el Dr. Julio Calvo Alvarado, Rector del Tecnológico de Costa Rica y el Dr. Celso Vargas Elizondo, Secretario General de la Asociación de Funcionarios del Tecnológico (AFITEC), firman el acuerdo de Negociación Salarial, el cual incorpora los acuerdos logrados en dicho proceso, a fin de garantizar el aumento salarial a los funcionarios y funcionarias del Tecnológico de Costa Rica para el año 2014.</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1" w:right="28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Propuesta de Negociación Salarial 2014, propone: </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76" w:lineRule="auto"/>
        <w:ind w:left="1276" w:right="283"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En compensación al alza en el costo de vida y la recuperación del salario real:</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5"/>
        </w:numPr>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TEC reconocerá un 1% sobre la inflación proyectada para el año 2014 como recuperación real de salario.</w:t>
      </w:r>
      <w:r w:rsidDel="00000000" w:rsidR="00000000" w:rsidRPr="00000000">
        <w:rPr>
          <w:rtl w:val="0"/>
        </w:rPr>
      </w:r>
    </w:p>
    <w:p w:rsidR="00000000" w:rsidDel="00000000" w:rsidP="00000000" w:rsidRDefault="00000000" w:rsidRPr="00000000">
      <w:pPr>
        <w:numPr>
          <w:ilvl w:val="0"/>
          <w:numId w:val="5"/>
        </w:numPr>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Utilizando el parámetro de inflación establecido por el Programa Macroeconómico para el 2014, el aumento general será del 6%.</w:t>
      </w:r>
      <w:r w:rsidDel="00000000" w:rsidR="00000000" w:rsidRPr="00000000">
        <w:rPr>
          <w:rtl w:val="0"/>
        </w:rPr>
      </w:r>
    </w:p>
    <w:p w:rsidR="00000000" w:rsidDel="00000000" w:rsidP="00000000" w:rsidRDefault="00000000" w:rsidRPr="00000000">
      <w:pPr>
        <w:numPr>
          <w:ilvl w:val="0"/>
          <w:numId w:val="5"/>
        </w:numPr>
        <w:spacing w:after="240" w:lineRule="auto"/>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Aplicar el ajuste establecido en el punto 2 de la siguiente manera:</w:t>
      </w:r>
      <w:r w:rsidDel="00000000" w:rsidR="00000000" w:rsidRPr="00000000">
        <w:rPr>
          <w:rtl w:val="0"/>
        </w:rPr>
      </w:r>
    </w:p>
    <w:p w:rsidR="00000000" w:rsidDel="00000000" w:rsidP="00000000" w:rsidRDefault="00000000" w:rsidRPr="00000000">
      <w:pPr>
        <w:numPr>
          <w:ilvl w:val="1"/>
          <w:numId w:val="5"/>
        </w:numPr>
        <w:ind w:left="1843" w:right="425" w:hanging="356.9999999999999"/>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5% a las bases salariales del 31 de diciembre del 2013, a partir del 01 de enero de 2014.  </w:t>
      </w:r>
      <w:r w:rsidDel="00000000" w:rsidR="00000000" w:rsidRPr="00000000">
        <w:rPr>
          <w:rtl w:val="0"/>
        </w:rPr>
      </w:r>
    </w:p>
    <w:p w:rsidR="00000000" w:rsidDel="00000000" w:rsidP="00000000" w:rsidRDefault="00000000" w:rsidRPr="00000000">
      <w:pPr>
        <w:numPr>
          <w:ilvl w:val="1"/>
          <w:numId w:val="5"/>
        </w:numPr>
        <w:ind w:left="1843" w:right="425" w:hanging="356.9999999999999"/>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1% a las bases salariales del 30 de junio del 2014, a partir del 1 de julio de 2014.</w:t>
      </w:r>
      <w:r w:rsidDel="00000000" w:rsidR="00000000" w:rsidRPr="00000000">
        <w:rPr>
          <w:rtl w:val="0"/>
        </w:rPr>
      </w:r>
    </w:p>
    <w:p w:rsidR="00000000" w:rsidDel="00000000" w:rsidP="00000000" w:rsidRDefault="00000000" w:rsidRPr="00000000">
      <w:pPr>
        <w:numPr>
          <w:ilvl w:val="1"/>
          <w:numId w:val="5"/>
        </w:numPr>
        <w:spacing w:after="240" w:lineRule="auto"/>
        <w:ind w:left="1843" w:right="425" w:hanging="356.9999999999999"/>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Si la inflación real del 2014 es mayor a 5%, se reconocerá la diferencia a partir de enero 2015, sobre la base salarial al 31 de diciembre del 2014.</w:t>
      </w:r>
      <w:r w:rsidDel="00000000" w:rsidR="00000000" w:rsidRPr="00000000">
        <w:rPr>
          <w:rtl w:val="0"/>
        </w:rPr>
      </w:r>
    </w:p>
    <w:p w:rsidR="00000000" w:rsidDel="00000000" w:rsidP="00000000" w:rsidRDefault="00000000" w:rsidRPr="00000000">
      <w:pPr>
        <w:numPr>
          <w:ilvl w:val="0"/>
          <w:numId w:val="4"/>
        </w:numPr>
        <w:spacing w:after="0" w:before="0" w:line="276" w:lineRule="auto"/>
        <w:ind w:left="1276" w:right="283"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En procura de la equiparación salarial con las otras universidades públicas:</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5"/>
        </w:numPr>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Administración en colaboración con la AFITEC se compromete a elaborar los estudios que permitan evidenciar las diferencias salariales entre el TEC y las otras universidades públicas, con la finalidad de crear un plan de mediano plazo, que permita disminuir las diferencias encontradas.</w:t>
      </w:r>
      <w:r w:rsidDel="00000000" w:rsidR="00000000" w:rsidRPr="00000000">
        <w:rPr>
          <w:rtl w:val="0"/>
        </w:rPr>
      </w:r>
    </w:p>
    <w:p w:rsidR="00000000" w:rsidDel="00000000" w:rsidP="00000000" w:rsidRDefault="00000000" w:rsidRPr="00000000">
      <w:pPr>
        <w:numPr>
          <w:ilvl w:val="0"/>
          <w:numId w:val="5"/>
        </w:numPr>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Para la implementación del plan de equiparación la Administración ha reservado 300 millones para el año 2014.  La reserva se aplicará a partir del 1 de julio del 2014.</w:t>
      </w:r>
      <w:r w:rsidDel="00000000" w:rsidR="00000000" w:rsidRPr="00000000">
        <w:rPr>
          <w:rtl w:val="0"/>
        </w:rPr>
      </w:r>
    </w:p>
    <w:p w:rsidR="00000000" w:rsidDel="00000000" w:rsidP="00000000" w:rsidRDefault="00000000" w:rsidRPr="00000000">
      <w:pPr>
        <w:numPr>
          <w:ilvl w:val="0"/>
          <w:numId w:val="5"/>
        </w:numPr>
        <w:spacing w:after="240" w:lineRule="auto"/>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plan de equiparación procurará:</w:t>
      </w:r>
      <w:r w:rsidDel="00000000" w:rsidR="00000000" w:rsidRPr="00000000">
        <w:rPr>
          <w:rtl w:val="0"/>
        </w:rPr>
      </w:r>
    </w:p>
    <w:p w:rsidR="00000000" w:rsidDel="00000000" w:rsidP="00000000" w:rsidRDefault="00000000" w:rsidRPr="00000000">
      <w:pPr>
        <w:numPr>
          <w:ilvl w:val="1"/>
          <w:numId w:val="5"/>
        </w:numPr>
        <w:ind w:left="1843"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Favorecer el mayor número de trabajadores.</w:t>
      </w:r>
      <w:r w:rsidDel="00000000" w:rsidR="00000000" w:rsidRPr="00000000">
        <w:rPr>
          <w:rtl w:val="0"/>
        </w:rPr>
      </w:r>
    </w:p>
    <w:p w:rsidR="00000000" w:rsidDel="00000000" w:rsidP="00000000" w:rsidRDefault="00000000" w:rsidRPr="00000000">
      <w:pPr>
        <w:numPr>
          <w:ilvl w:val="1"/>
          <w:numId w:val="5"/>
        </w:numPr>
        <w:ind w:left="1843"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Fortalecer el sistema de méritos, incluyendo acciones que faciliten el acceso.</w:t>
      </w:r>
      <w:r w:rsidDel="00000000" w:rsidR="00000000" w:rsidRPr="00000000">
        <w:rPr>
          <w:rtl w:val="0"/>
        </w:rPr>
      </w:r>
    </w:p>
    <w:p w:rsidR="00000000" w:rsidDel="00000000" w:rsidP="00000000" w:rsidRDefault="00000000" w:rsidRPr="00000000">
      <w:pPr>
        <w:numPr>
          <w:ilvl w:val="1"/>
          <w:numId w:val="5"/>
        </w:numPr>
        <w:ind w:left="1843"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Fortalecer todas las bases salariales.</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76" w:lineRule="auto"/>
        <w:ind w:left="1276" w:right="283"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Sobre las mejoras en las condiciones de los funcionarios interinos:</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5"/>
        </w:numPr>
        <w:ind w:left="1560" w:right="284" w:hanging="28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Continuar con la política de estabilidad laboral al personal que cumpla con los requisitos según lo establecido en la II Convención Colectiva y sus Reformas.</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1276" w:right="284"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Este acuerdo salarial quedará en firme una vez que la Asamblea General de AFITEC lo ratifique.”</w:t>
      </w:r>
      <w:r w:rsidDel="00000000" w:rsidR="00000000" w:rsidRPr="00000000">
        <w:rPr>
          <w:rtl w:val="0"/>
        </w:rPr>
      </w:r>
    </w:p>
    <w:p w:rsidR="00000000" w:rsidDel="00000000" w:rsidP="00000000" w:rsidRDefault="00000000" w:rsidRPr="00000000">
      <w:pPr>
        <w:spacing w:after="0" w:before="0" w:lineRule="auto"/>
        <w:ind w:left="992" w:right="284"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850" w:right="284" w:hanging="357"/>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fecha 23 de octubre de 2013, la AFITEC convoca a la Asamblea General Extraordinaria y en la segunda convocatoria se toma el siguiente acuerdo: </w:t>
      </w:r>
      <w:r w:rsidDel="00000000" w:rsidR="00000000" w:rsidRPr="00000000">
        <w:rPr>
          <w:rtl w:val="0"/>
        </w:rPr>
      </w:r>
    </w:p>
    <w:p w:rsidR="00000000" w:rsidDel="00000000" w:rsidP="00000000" w:rsidRDefault="00000000" w:rsidRPr="00000000">
      <w:pPr>
        <w:ind w:left="851" w:right="283" w:firstLine="0"/>
        <w:contextualSpacing w:val="0"/>
      </w:pPr>
      <w:r w:rsidDel="00000000" w:rsidR="00000000" w:rsidRPr="00000000">
        <w:rPr>
          <w:rtl w:val="0"/>
        </w:rPr>
      </w:r>
    </w:p>
    <w:p w:rsidR="00000000" w:rsidDel="00000000" w:rsidP="00000000" w:rsidRDefault="00000000" w:rsidRPr="00000000">
      <w:pPr>
        <w:ind w:left="1276" w:right="283" w:firstLine="0"/>
        <w:contextualSpacing w:val="0"/>
        <w:jc w:val="both"/>
      </w:pPr>
      <w:r w:rsidDel="00000000" w:rsidR="00000000" w:rsidRPr="00000000">
        <w:rPr>
          <w:rFonts w:ascii="Arial" w:cs="Arial" w:eastAsia="Arial" w:hAnsi="Arial"/>
          <w:i w:val="1"/>
          <w:sz w:val="22"/>
          <w:szCs w:val="22"/>
          <w:vertAlign w:val="baseline"/>
          <w:rtl w:val="0"/>
        </w:rPr>
        <w:t xml:space="preserve">“1. Avalar el acuerdo de la negociación salarial para el 2014 alcanzado por la representación de la AFITEC y de la Administración el día lunes 14 de Octubre del 2013….” </w:t>
      </w:r>
      <w:r w:rsidDel="00000000" w:rsidR="00000000" w:rsidRPr="00000000">
        <w:rPr>
          <w:rtl w:val="0"/>
        </w:rPr>
      </w:r>
    </w:p>
    <w:p w:rsidR="00000000" w:rsidDel="00000000" w:rsidP="00000000" w:rsidRDefault="00000000" w:rsidRPr="00000000">
      <w:pPr>
        <w:tabs>
          <w:tab w:val="left" w:pos="1996"/>
        </w:tabs>
        <w:ind w:right="283"/>
        <w:contextualSpacing w:val="0"/>
        <w:jc w:val="both"/>
      </w:pPr>
      <w:r w:rsidDel="00000000" w:rsidR="00000000" w:rsidRPr="00000000">
        <w:rPr>
          <w:rtl w:val="0"/>
        </w:rPr>
      </w:r>
    </w:p>
    <w:p w:rsidR="00000000" w:rsidDel="00000000" w:rsidP="00000000" w:rsidRDefault="00000000" w:rsidRPr="00000000">
      <w:pPr>
        <w:numPr>
          <w:ilvl w:val="0"/>
          <w:numId w:val="3"/>
        </w:numPr>
        <w:spacing w:after="200" w:before="0" w:line="276" w:lineRule="auto"/>
        <w:ind w:left="851" w:right="28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Institucional, en la Sesión Ordinaria No. 2839, Artículo 14, del 26 de setiembre de 2013, aprobó el Plan Anual Operativo y Presupuesto 2014, el cual incluye la Reserva de Aumento Salarial correspondiente al año 2014, según el siguiente detalle:</w:t>
      </w:r>
      <w:r w:rsidDel="00000000" w:rsidR="00000000" w:rsidRPr="00000000">
        <w:rPr>
          <w:rtl w:val="0"/>
        </w:rPr>
      </w:r>
    </w:p>
    <w:tbl>
      <w:tblPr>
        <w:tblStyle w:val="Table2"/>
        <w:bidi w:val="0"/>
        <w:tblW w:w="7346.0" w:type="dxa"/>
        <w:jc w:val="center"/>
        <w:tblLayout w:type="fixed"/>
        <w:tblLook w:val="0000"/>
      </w:tblPr>
      <w:tblGrid>
        <w:gridCol w:w="4046"/>
        <w:gridCol w:w="202"/>
        <w:gridCol w:w="3072"/>
        <w:gridCol w:w="26"/>
        <w:tblGridChange w:id="0">
          <w:tblGrid>
            <w:gridCol w:w="4046"/>
            <w:gridCol w:w="202"/>
            <w:gridCol w:w="3072"/>
            <w:gridCol w:w="26"/>
          </w:tblGrid>
        </w:tblGridChange>
      </w:tblGrid>
      <w:tr>
        <w:trPr>
          <w:trHeight w:val="320" w:hRule="atLeast"/>
        </w:trPr>
        <w:tc>
          <w:tcPr>
            <w:gridSpan w:val="2"/>
            <w:vMerge w:val="restart"/>
            <w:tcBorders>
              <w:top w:color="000000" w:space="0" w:sz="8" w:val="single"/>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jc w:val="center"/>
            </w:pPr>
            <w:r w:rsidDel="00000000" w:rsidR="00000000" w:rsidRPr="00000000">
              <w:rPr>
                <w:rFonts w:ascii="Arial" w:cs="Arial" w:eastAsia="Arial" w:hAnsi="Arial"/>
                <w:b w:val="1"/>
                <w:i w:val="1"/>
                <w:sz w:val="22"/>
                <w:szCs w:val="22"/>
                <w:vertAlign w:val="baseline"/>
                <w:rtl w:val="0"/>
              </w:rPr>
              <w:t xml:space="preserve">SUBPARTIDA</w:t>
            </w: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tc>
      </w:tr>
      <w:tr>
        <w:trPr>
          <w:trHeight w:val="320" w:hRule="atLeast"/>
        </w:trPr>
        <w:tc>
          <w:tcPr>
            <w:gridSpan w:val="2"/>
            <w:vMerge w:val="continue"/>
            <w:tcBorders>
              <w:top w:color="000000" w:space="0" w:sz="8" w:val="single"/>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jc w:val="center"/>
            </w:pPr>
            <w:r w:rsidDel="00000000" w:rsidR="00000000" w:rsidRPr="00000000">
              <w:rPr>
                <w:rFonts w:ascii="Arial" w:cs="Arial" w:eastAsia="Arial" w:hAnsi="Arial"/>
                <w:b w:val="1"/>
                <w:i w:val="1"/>
                <w:sz w:val="22"/>
                <w:szCs w:val="22"/>
                <w:vertAlign w:val="baseline"/>
                <w:rtl w:val="0"/>
              </w:rPr>
              <w:t xml:space="preserve">MONTO</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Sueldos para cargos fijos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558,738,099.74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Retribución por años servidos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297,795,890.35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Prohibición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3,792,836.58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Dedicación Exclusiva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71,044,730.38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Decimotercer mes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112,439,585.24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Otros incentivos salariales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489,488,122.25  </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Contribuciones patronales al desarrollo y seguridad social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54,476,964.72  </w:t>
            </w:r>
            <w:r w:rsidDel="00000000" w:rsidR="00000000" w:rsidRPr="00000000">
              <w:rPr>
                <w:rtl w:val="0"/>
              </w:rPr>
            </w:r>
          </w:p>
        </w:tc>
      </w:tr>
      <w:tr>
        <w:trPr>
          <w:trHeight w:val="880" w:hRule="atLeast"/>
        </w:trPr>
        <w:tc>
          <w:tcPr>
            <w:tcBorders>
              <w:top w:color="000000" w:space="0" w:sz="0" w:val="nil"/>
              <w:left w:color="000000" w:space="0" w:sz="0" w:val="nil"/>
              <w:bottom w:color="000000" w:space="0" w:sz="8" w:val="single"/>
              <w:right w:color="000000" w:space="0" w:sz="0" w:val="nil"/>
            </w:tcBorders>
            <w:shd w:fill="ffffff"/>
          </w:tcPr>
          <w:p w:rsidR="00000000" w:rsidDel="00000000" w:rsidP="00000000" w:rsidRDefault="00000000" w:rsidRPr="00000000">
            <w:pPr>
              <w:ind w:left="344" w:right="283" w:firstLine="0"/>
              <w:contextualSpacing w:val="0"/>
            </w:pPr>
            <w:r w:rsidDel="00000000" w:rsidR="00000000" w:rsidRPr="00000000">
              <w:rPr>
                <w:rFonts w:ascii="Arial" w:cs="Arial" w:eastAsia="Arial" w:hAnsi="Arial"/>
                <w:i w:val="1"/>
                <w:sz w:val="22"/>
                <w:szCs w:val="22"/>
                <w:vertAlign w:val="baseline"/>
                <w:rtl w:val="0"/>
              </w:rPr>
              <w:t xml:space="preserve">Contribuciones patronales a Fondos de pensiones y otros fondos de capitalización</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25" w:right="187" w:firstLine="0"/>
              <w:contextualSpacing w:val="0"/>
              <w:jc w:val="right"/>
            </w:pPr>
            <w:r w:rsidDel="00000000" w:rsidR="00000000" w:rsidRPr="00000000">
              <w:rPr>
                <w:rFonts w:ascii="Arial" w:cs="Arial" w:eastAsia="Arial" w:hAnsi="Arial"/>
                <w:i w:val="1"/>
                <w:sz w:val="22"/>
                <w:szCs w:val="22"/>
                <w:vertAlign w:val="baseline"/>
                <w:rtl w:val="0"/>
              </w:rPr>
              <w:t xml:space="preserve">                    70,680,369.62  </w:t>
            </w:r>
            <w:r w:rsidDel="00000000" w:rsidR="00000000" w:rsidRPr="00000000">
              <w:rPr>
                <w:rtl w:val="0"/>
              </w:rPr>
            </w:r>
          </w:p>
        </w:tc>
      </w:tr>
      <w:tr>
        <w:trPr>
          <w:trHeight w:val="300" w:hRule="atLeast"/>
        </w:trPr>
        <w:tc>
          <w:tcPr>
            <w:tcBorders>
              <w:top w:color="000000" w:space="0" w:sz="0" w:val="nil"/>
              <w:left w:color="000000" w:space="0" w:sz="0" w:val="nil"/>
              <w:bottom w:color="000000" w:space="0" w:sz="6" w:val="single"/>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b w:val="1"/>
                <w:i w:val="1"/>
                <w:sz w:val="22"/>
                <w:szCs w:val="22"/>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0" w:val="nil"/>
            </w:tcBorders>
          </w:tcPr>
          <w:p w:rsidR="00000000" w:rsidDel="00000000" w:rsidP="00000000" w:rsidRDefault="00000000" w:rsidRPr="00000000">
            <w:pPr>
              <w:ind w:left="25" w:right="-96" w:firstLine="0"/>
              <w:contextualSpacing w:val="0"/>
            </w:pPr>
            <w:r w:rsidDel="00000000" w:rsidR="00000000" w:rsidRPr="00000000">
              <w:rPr>
                <w:rFonts w:ascii="Arial" w:cs="Arial" w:eastAsia="Arial" w:hAnsi="Arial"/>
                <w:b w:val="1"/>
                <w:i w:val="1"/>
                <w:sz w:val="22"/>
                <w:szCs w:val="22"/>
                <w:vertAlign w:val="baseline"/>
                <w:rtl w:val="0"/>
              </w:rPr>
              <w:t xml:space="preserve">                 1,658,456,598.88 </w:t>
            </w:r>
            <w:r w:rsidDel="00000000" w:rsidR="00000000" w:rsidRPr="00000000">
              <w:rPr>
                <w:rtl w:val="0"/>
              </w:rPr>
            </w:r>
          </w:p>
        </w:tc>
      </w:tr>
    </w:tbl>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200" w:before="0" w:line="276" w:lineRule="auto"/>
        <w:ind w:left="851" w:right="28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atención de los puntos No. 2 y No. 3.a y 3.b del apartado </w:t>
      </w:r>
      <w:r w:rsidDel="00000000" w:rsidR="00000000" w:rsidRPr="00000000">
        <w:rPr>
          <w:rFonts w:ascii="Arial" w:cs="Arial" w:eastAsia="Arial" w:hAnsi="Arial"/>
          <w:b w:val="1"/>
          <w:i w:val="1"/>
          <w:sz w:val="22"/>
          <w:szCs w:val="22"/>
          <w:vertAlign w:val="baseline"/>
          <w:rtl w:val="0"/>
        </w:rPr>
        <w:t xml:space="preserve">I.</w:t>
      </w:r>
      <w:r w:rsidDel="00000000" w:rsidR="00000000" w:rsidRPr="00000000">
        <w:rPr>
          <w:rFonts w:ascii="Arial" w:cs="Arial" w:eastAsia="Arial" w:hAnsi="Arial"/>
          <w:i w:val="1"/>
          <w:sz w:val="22"/>
          <w:szCs w:val="22"/>
          <w:vertAlign w:val="baseline"/>
          <w:rtl w:val="0"/>
        </w:rPr>
        <w:t xml:space="preserve"> de la Propuesta de Negociación Salarial 2014: “2. Utilizando el parámetro de inflación establecido por el Programa Macroeconómico para el 2014, el aumento general será del 6%.       3. Aplicar el ajuste establecido en el punto 2 de la siguiente manera: a. 5% a las bases salariales del 31 de diciembre del 2013, a partir del 01 de enero de 2014. b. 1% a las bases salariales del 30 de junio del 2014, a partir del 1 de julio de 2014. ”, requiere de la utilización de la reserva por un monto de ¢ 1,448,554,292.73 (mil cuatrocientos cuarenta y ocho millones quinientos cincuenta y cuatro mil doscientos noventa y dos colones con setenta y tres céntimos), según el siguiente detalle:</w:t>
      </w:r>
      <w:r w:rsidDel="00000000" w:rsidR="00000000" w:rsidRPr="00000000">
        <w:rPr>
          <w:rtl w:val="0"/>
        </w:rPr>
      </w:r>
    </w:p>
    <w:tbl>
      <w:tblPr>
        <w:tblStyle w:val="Table3"/>
        <w:bidi w:val="0"/>
        <w:tblW w:w="8492.0" w:type="dxa"/>
        <w:jc w:val="center"/>
        <w:tblLayout w:type="fixed"/>
        <w:tblLook w:val="0000"/>
      </w:tblPr>
      <w:tblGrid>
        <w:gridCol w:w="5382"/>
        <w:gridCol w:w="3110"/>
        <w:tblGridChange w:id="0">
          <w:tblGrid>
            <w:gridCol w:w="5382"/>
            <w:gridCol w:w="3110"/>
          </w:tblGrid>
        </w:tblGridChange>
      </w:tblGrid>
      <w:tr>
        <w:trPr>
          <w:trHeight w:val="320" w:hRule="atLeast"/>
        </w:trPr>
        <w:tc>
          <w:tcPr>
            <w:vMerge w:val="restart"/>
            <w:tcBorders>
              <w:top w:color="000000" w:space="0" w:sz="8" w:val="single"/>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jc w:val="center"/>
            </w:pPr>
            <w:r w:rsidDel="00000000" w:rsidR="00000000" w:rsidRPr="00000000">
              <w:rPr>
                <w:rFonts w:ascii="Arial" w:cs="Arial" w:eastAsia="Arial" w:hAnsi="Arial"/>
                <w:b w:val="1"/>
                <w:i w:val="1"/>
                <w:sz w:val="22"/>
                <w:szCs w:val="22"/>
                <w:vertAlign w:val="baseline"/>
                <w:rtl w:val="0"/>
              </w:rPr>
              <w:t xml:space="preserve">SUBPARTIDA</w:t>
            </w: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tc>
      </w:tr>
      <w:tr>
        <w:trPr>
          <w:trHeight w:val="60" w:hRule="atLeast"/>
        </w:trPr>
        <w:tc>
          <w:tcPr>
            <w:vMerge w:val="continue"/>
            <w:tcBorders>
              <w:top w:color="000000" w:space="0" w:sz="8" w:val="single"/>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tcPr>
          <w:p w:rsidR="00000000" w:rsidDel="00000000" w:rsidP="00000000" w:rsidRDefault="00000000" w:rsidRPr="00000000">
            <w:pPr>
              <w:ind w:left="851" w:right="283" w:firstLine="0"/>
              <w:contextualSpacing w:val="0"/>
              <w:jc w:val="center"/>
            </w:pPr>
            <w:r w:rsidDel="00000000" w:rsidR="00000000" w:rsidRPr="00000000">
              <w:rPr>
                <w:rFonts w:ascii="Arial" w:cs="Arial" w:eastAsia="Arial" w:hAnsi="Arial"/>
                <w:b w:val="1"/>
                <w:i w:val="1"/>
                <w:sz w:val="22"/>
                <w:szCs w:val="22"/>
                <w:vertAlign w:val="baseline"/>
                <w:rtl w:val="0"/>
              </w:rPr>
              <w:t xml:space="preserve">MONTO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7264.000000000001" w:type="dxa"/>
        <w:jc w:val="center"/>
        <w:tblLayout w:type="fixed"/>
        <w:tblLook w:val="0000"/>
      </w:tblPr>
      <w:tblGrid>
        <w:gridCol w:w="4046"/>
        <w:gridCol w:w="3218"/>
        <w:tblGridChange w:id="0">
          <w:tblGrid>
            <w:gridCol w:w="4046"/>
            <w:gridCol w:w="3218"/>
          </w:tblGrid>
        </w:tblGridChange>
      </w:tblGrid>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Sueldos para cargos fijos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506,905,600.21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Retribución por años servidos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329,064,458.84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Prohibición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10,916,273.80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Dedicación Exclusiva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71,044,730.38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Decimotercer mes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97,191,999.97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Otros incentivos salariales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319,884,375.09  </w:t>
            </w:r>
            <w:r w:rsidDel="00000000" w:rsidR="00000000" w:rsidRPr="00000000">
              <w:rPr>
                <w:rtl w:val="0"/>
              </w:rPr>
            </w:r>
          </w:p>
        </w:tc>
      </w:tr>
      <w:tr>
        <w:trPr>
          <w:trHeight w:val="58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i w:val="1"/>
                <w:sz w:val="22"/>
                <w:szCs w:val="22"/>
                <w:vertAlign w:val="baseline"/>
                <w:rtl w:val="0"/>
              </w:rPr>
              <w:t xml:space="preserve">Contribuciones patronales al desarrollo y seguridad social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49,423,296.02  </w:t>
            </w:r>
            <w:r w:rsidDel="00000000" w:rsidR="00000000" w:rsidRPr="00000000">
              <w:rPr>
                <w:rtl w:val="0"/>
              </w:rPr>
            </w:r>
          </w:p>
        </w:tc>
      </w:tr>
      <w:tr>
        <w:trPr>
          <w:trHeight w:val="880" w:hRule="atLeast"/>
        </w:trPr>
        <w:tc>
          <w:tcPr>
            <w:tcBorders>
              <w:top w:color="000000" w:space="0" w:sz="0" w:val="nil"/>
              <w:left w:color="000000" w:space="0" w:sz="0" w:val="nil"/>
              <w:bottom w:color="000000" w:space="0" w:sz="8" w:val="single"/>
              <w:right w:color="000000" w:space="0" w:sz="0" w:val="nil"/>
            </w:tcBorders>
            <w:shd w:fill="ffffff"/>
          </w:tcPr>
          <w:p w:rsidR="00000000" w:rsidDel="00000000" w:rsidP="00000000" w:rsidRDefault="00000000" w:rsidRPr="00000000">
            <w:pPr>
              <w:ind w:left="52" w:right="114" w:firstLine="15"/>
              <w:contextualSpacing w:val="0"/>
            </w:pPr>
            <w:r w:rsidDel="00000000" w:rsidR="00000000" w:rsidRPr="00000000">
              <w:rPr>
                <w:rFonts w:ascii="Arial" w:cs="Arial" w:eastAsia="Arial" w:hAnsi="Arial"/>
                <w:i w:val="1"/>
                <w:sz w:val="22"/>
                <w:szCs w:val="22"/>
                <w:vertAlign w:val="baseline"/>
                <w:rtl w:val="0"/>
              </w:rPr>
              <w:t xml:space="preserve">Contribuciones patronales a Fondos de pensiones y otros fondos de capitalización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tabs>
                <w:tab w:val="left" w:pos="3175"/>
              </w:tabs>
              <w:ind w:left="107" w:right="114" w:firstLine="29.000000000000004"/>
              <w:contextualSpacing w:val="0"/>
              <w:jc w:val="right"/>
            </w:pPr>
            <w:r w:rsidDel="00000000" w:rsidR="00000000" w:rsidRPr="00000000">
              <w:rPr>
                <w:rFonts w:ascii="Arial" w:cs="Arial" w:eastAsia="Arial" w:hAnsi="Arial"/>
                <w:i w:val="1"/>
                <w:sz w:val="22"/>
                <w:szCs w:val="22"/>
                <w:vertAlign w:val="baseline"/>
                <w:rtl w:val="0"/>
              </w:rPr>
              <w:t xml:space="preserve">                    64,123,558.43  </w:t>
            </w:r>
            <w:r w:rsidDel="00000000" w:rsidR="00000000" w:rsidRPr="00000000">
              <w:rPr>
                <w:rtl w:val="0"/>
              </w:rPr>
            </w:r>
          </w:p>
        </w:tc>
      </w:tr>
      <w:tr>
        <w:trPr>
          <w:trHeight w:val="300" w:hRule="atLeast"/>
        </w:trPr>
        <w:tc>
          <w:tcPr>
            <w:tcBorders>
              <w:top w:color="000000" w:space="0" w:sz="0" w:val="nil"/>
              <w:left w:color="000000" w:space="0" w:sz="0" w:val="nil"/>
              <w:bottom w:color="000000" w:space="0" w:sz="6" w:val="single"/>
              <w:right w:color="000000" w:space="0" w:sz="0" w:val="nil"/>
            </w:tcBorders>
            <w:shd w:fill="ffffff"/>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b w:val="1"/>
                <w:i w:val="1"/>
                <w:sz w:val="22"/>
                <w:szCs w:val="22"/>
                <w:vertAlign w:val="baseline"/>
                <w:rtl w:val="0"/>
              </w:rPr>
              <w:t xml:space="preserve">Total</w:t>
            </w:r>
            <w:r w:rsidDel="00000000" w:rsidR="00000000" w:rsidRPr="00000000">
              <w:rPr>
                <w:rtl w:val="0"/>
              </w:rPr>
            </w:r>
          </w:p>
        </w:tc>
        <w:tc>
          <w:tcPr>
            <w:tcBorders>
              <w:top w:color="000000" w:space="0" w:sz="8" w:val="single"/>
              <w:left w:color="000000" w:space="0" w:sz="0" w:val="nil"/>
              <w:bottom w:color="000000" w:space="0" w:sz="6" w:val="single"/>
              <w:right w:color="000000" w:space="0" w:sz="0" w:val="nil"/>
            </w:tcBorders>
          </w:tcPr>
          <w:p w:rsidR="00000000" w:rsidDel="00000000" w:rsidP="00000000" w:rsidRDefault="00000000" w:rsidRPr="00000000">
            <w:pPr>
              <w:ind w:left="107" w:right="114" w:firstLine="29.000000000000004"/>
              <w:contextualSpacing w:val="0"/>
            </w:pPr>
            <w:r w:rsidDel="00000000" w:rsidR="00000000" w:rsidRPr="00000000">
              <w:rPr>
                <w:rFonts w:ascii="Arial" w:cs="Arial" w:eastAsia="Arial" w:hAnsi="Arial"/>
                <w:b w:val="1"/>
                <w:i w:val="1"/>
                <w:sz w:val="22"/>
                <w:szCs w:val="22"/>
                <w:vertAlign w:val="baseline"/>
                <w:rtl w:val="0"/>
              </w:rPr>
              <w:t xml:space="preserve">                 1,448,554,292.73 </w:t>
            </w:r>
            <w:r w:rsidDel="00000000" w:rsidR="00000000" w:rsidRPr="00000000">
              <w:rPr>
                <w:rtl w:val="0"/>
              </w:rPr>
            </w:r>
          </w:p>
        </w:tc>
      </w:tr>
    </w:tbl>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851" w:right="283" w:hanging="360"/>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encuentra pendiente la aprobación, por parte de la Contraloría General de la República, del Presupuesto Ordinario 2014 solicitada el 27 de setiembre de 2013, mediante oficio R-927-2013, remitido al Lic. Ronald Bejarano Izabá, Gerente Área Servicios Sociales de la Dirección Fiscalización Operativa y Evaluativa de la Contraloría General de la República.</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6"/>
        </w:numPr>
        <w:ind w:left="851" w:right="283" w:hanging="426"/>
        <w:jc w:val="both"/>
        <w:rPr/>
      </w:pPr>
      <w:r w:rsidDel="00000000" w:rsidR="00000000" w:rsidRPr="00000000">
        <w:rPr>
          <w:rFonts w:ascii="Arial" w:cs="Arial" w:eastAsia="Arial" w:hAnsi="Arial"/>
          <w:i w:val="1"/>
          <w:sz w:val="22"/>
          <w:szCs w:val="22"/>
          <w:vertAlign w:val="baseline"/>
          <w:rtl w:val="0"/>
        </w:rPr>
        <w:t xml:space="preserve">Autorizar la utilización de las Reservas para ajustes salariales según lo requerido para efectuar el incremento en el porcentaje indicado en los puntos:   “2. Utilizando el parámetro de inflación establecido por el Programa Macroeconómico para el 2014, el aumento general será del 6%. 3. Aplicar el ajuste establecido en el punto 2 de la siguiente manera: a. 5% a las bases salariales del 31 de diciembre del 2013, a partir del 01 de enero de 2014. b. 1% a las bases salariales del 30 de junio del 2014, a partir del 1 de julio de 2014. ”, condicionado a la aprobación del Presupuesto Ordinario 2014, por parte de la Contraloría General de la República.”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En reunión de la Comisión de Planificación y Administración No. 555-2013, del 31 de octubre de 2013, se conoce la propuesta de autorización de uso de reserva salarial para atender el ajuste del primer semestre del año 2014 y se dispone elevarla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el uso de la Reserva Salarial por un monto de ¢ 1,448,554,292.73 (mil cuatrocientos cuarenta y ocho millones quinientos cincuenta y cuatro mil doscientos noventa y dos colones con setenta y tres céntimos), para atender el </w:t>
      </w:r>
      <w:r w:rsidDel="00000000" w:rsidR="00000000" w:rsidRPr="00000000">
        <w:rPr>
          <w:rFonts w:ascii="Arial" w:cs="Arial" w:eastAsia="Arial" w:hAnsi="Arial"/>
          <w:color w:val="000000"/>
          <w:sz w:val="22"/>
          <w:szCs w:val="22"/>
          <w:vertAlign w:val="baseline"/>
          <w:rtl w:val="0"/>
        </w:rPr>
        <w:t xml:space="preserve">6%</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de ajuste salarial del año 2014, según el punto  I, del acuerdo salarial pactado por el Rector y la AFITEC. </w:t>
      </w:r>
      <w:r w:rsidDel="00000000" w:rsidR="00000000" w:rsidRPr="00000000">
        <w:rPr>
          <w:rtl w:val="0"/>
        </w:rPr>
      </w:r>
    </w:p>
    <w:p w:rsidR="00000000" w:rsidDel="00000000" w:rsidP="00000000" w:rsidRDefault="00000000" w:rsidRPr="00000000">
      <w:pPr>
        <w:tabs>
          <w:tab w:val="left" w:pos="1004"/>
        </w:tabs>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Condicionar el uso de los recursos hasta la aprobación de la Contraloría General de la República del Presupuesto Ordinario 2014.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Palabras Clave:  Autorización - Reserva Salarial – primer semestre 2014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5"/>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2846, Artículo 7, del  06 de noviembre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1070" w:firstLine="71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