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_gjdgxs" w:id="0"/>
      <w:bookmarkEnd w:id="0"/>
      <w:r w:rsidDel="00000000" w:rsidR="00000000" w:rsidRPr="00000000">
        <w:rPr>
          <w:rFonts w:ascii="Arial" w:cs="Arial" w:eastAsia="Arial" w:hAnsi="Arial"/>
          <w:b w:val="1"/>
          <w:sz w:val="26"/>
          <w:szCs w:val="26"/>
          <w:rtl w:val="0"/>
        </w:rPr>
        <w:t xml:space="preserve">SCI-89-2014</w:t>
      </w:r>
    </w:p>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Comunicación de acuerdo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bl>
      <w:tblPr>
        <w:tblStyle w:val="Table1"/>
        <w:bidi w:val="0"/>
        <w:tblW w:w="9781.0" w:type="dxa"/>
        <w:jc w:val="left"/>
        <w:tblInd w:w="-6.999999999999993" w:type="dxa"/>
        <w:tblLayout w:type="fixed"/>
        <w:tblLook w:val="0000"/>
      </w:tblPr>
      <w:tblGrid>
        <w:gridCol w:w="1123"/>
        <w:gridCol w:w="11"/>
        <w:gridCol w:w="8647"/>
        <w:tblGridChange w:id="0">
          <w:tblGrid>
            <w:gridCol w:w="1123"/>
            <w:gridCol w:w="11"/>
            <w:gridCol w:w="8647"/>
          </w:tblGrid>
        </w:tblGridChange>
      </w:tblGrid>
      <w:tr>
        <w:tc>
          <w:tcPr>
            <w:gridSpan w:val="2"/>
          </w:tcPr>
          <w:p w:rsidR="00000000" w:rsidDel="00000000" w:rsidP="00000000" w:rsidRDefault="00000000" w:rsidRPr="00000000">
            <w:pPr>
              <w:tabs>
                <w:tab w:val="right" w:pos="2100"/>
                <w:tab w:val="left" w:pos="2694"/>
              </w:tabs>
              <w:contextualSpacing w:val="0"/>
            </w:pPr>
            <w:r w:rsidDel="00000000" w:rsidR="00000000" w:rsidRPr="00000000">
              <w:rPr>
                <w:rFonts w:ascii="Arial" w:cs="Arial" w:eastAsia="Arial" w:hAnsi="Arial"/>
                <w:b w:val="1"/>
                <w:sz w:val="24"/>
                <w:szCs w:val="24"/>
                <w:rtl w:val="0"/>
              </w:rPr>
              <w:t xml:space="preserve">Para:</w:t>
            </w:r>
          </w:p>
        </w:tc>
        <w:tc>
          <w:tcPr/>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Dr. Julio C. Calvo A, Rector</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Dra. Claudia Madrizova M., Vicerrectora</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Vicerrectoría Vida Estudiantil y Servicios Académicos</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Tomás Guzmán Hernández, Representante del Centro Académico y Sede Regional San Carlos ante el  Consejo Institucional</w:t>
            </w:r>
          </w:p>
          <w:p w:rsidR="00000000" w:rsidDel="00000000" w:rsidP="00000000" w:rsidRDefault="00000000" w:rsidRPr="00000000">
            <w:pPr>
              <w:ind w:left="45" w:firstLine="0"/>
              <w:contextualSpacing w:val="0"/>
              <w:jc w:val="both"/>
            </w:pPr>
            <w:r w:rsidDel="00000000" w:rsidR="00000000" w:rsidRPr="00000000">
              <w:rPr>
                <w:rtl w:val="0"/>
              </w:rPr>
            </w:r>
          </w:p>
        </w:tc>
      </w:tr>
      <w:tr>
        <w:tc>
          <w:tcPr>
            <w:gridSpan w:val="2"/>
          </w:tcPr>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De: </w:t>
            </w:r>
          </w:p>
        </w:tc>
        <w:tc>
          <w:tcPr/>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Licda. Bertalía Sánchez Salas, Directora Ejecutiva </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Secretaría del Consejo Institucional</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4"/>
                <w:szCs w:val="24"/>
                <w:rtl w:val="0"/>
              </w:rPr>
              <w:t xml:space="preserve">Instituto Tecnológico de Costa Rica</w:t>
            </w:r>
            <w:r w:rsidDel="00000000" w:rsidR="00000000" w:rsidRPr="00000000">
              <w:rPr>
                <w:rFonts w:ascii="Arial" w:cs="Arial" w:eastAsia="Arial" w:hAnsi="Arial"/>
                <w:sz w:val="22"/>
                <w:szCs w:val="22"/>
                <w:rtl w:val="0"/>
              </w:rPr>
              <w:t xml:space="preserve"> </w:t>
            </w:r>
          </w:p>
        </w:tc>
      </w:tr>
      <w:tr>
        <w:trPr>
          <w:trHeight w:val="320" w:hRule="atLeast"/>
        </w:trPr>
        <w:tc>
          <w:tcPr>
            <w:gridSpan w:val="2"/>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Fecha:</w:t>
            </w:r>
          </w:p>
        </w:tc>
        <w:tc>
          <w:tcPr/>
          <w:p w:rsidR="00000000" w:rsidDel="00000000" w:rsidP="00000000" w:rsidRDefault="00000000" w:rsidRPr="00000000">
            <w:pPr>
              <w:tabs>
                <w:tab w:val="right" w:pos="2410"/>
                <w:tab w:val="left" w:pos="2694"/>
              </w:tabs>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4"/>
                <w:szCs w:val="24"/>
                <w:rtl w:val="0"/>
              </w:rPr>
              <w:t xml:space="preserve">19 de febrero de 2014</w:t>
            </w:r>
          </w:p>
        </w:tc>
      </w:tr>
      <w:tr>
        <w:trPr>
          <w:trHeight w:val="280" w:hRule="atLeast"/>
        </w:trPr>
        <w:tc>
          <w:tcPr>
            <w:gridSpan w:val="2"/>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20" w:hRule="atLeast"/>
        </w:trPr>
        <w:tc>
          <w:tcPr/>
          <w:p w:rsidR="00000000" w:rsidDel="00000000" w:rsidP="00000000" w:rsidRDefault="00000000" w:rsidRPr="00000000">
            <w:pPr>
              <w:contextualSpacing w:val="0"/>
            </w:pPr>
            <w:r w:rsidDel="00000000" w:rsidR="00000000" w:rsidRPr="00000000">
              <w:rPr>
                <w:rFonts w:ascii="Arial" w:cs="Arial" w:eastAsia="Arial" w:hAnsi="Arial"/>
                <w:b w:val="1"/>
                <w:sz w:val="22"/>
                <w:szCs w:val="22"/>
                <w:rtl w:val="0"/>
              </w:rPr>
              <w:t xml:space="preserve">Asunto:</w:t>
            </w:r>
          </w:p>
        </w:tc>
        <w:tc>
          <w:tcPr>
            <w:gridSpan w:val="2"/>
          </w:tcPr>
          <w:p w:rsidR="00000000" w:rsidDel="00000000" w:rsidP="00000000" w:rsidRDefault="00000000" w:rsidRPr="00000000">
            <w:pPr>
              <w:ind w:left="45" w:hanging="45"/>
              <w:contextualSpacing w:val="0"/>
              <w:jc w:val="both"/>
            </w:pPr>
            <w:r w:rsidDel="00000000" w:rsidR="00000000" w:rsidRPr="00000000">
              <w:rPr>
                <w:rFonts w:ascii="Arial" w:cs="Arial" w:eastAsia="Arial" w:hAnsi="Arial"/>
                <w:b w:val="1"/>
                <w:sz w:val="24"/>
                <w:szCs w:val="24"/>
                <w:rtl w:val="0"/>
              </w:rPr>
              <w:t xml:space="preserve">Sesión Ordinaria No. 2857, Artículo 8, del 19 de febrero de 2014.  Designación de un Representante del Consejo Institucional para que participe en el Acto de Graduación del Programa de Maestría en la Sede de Liberia, por celebrarse el viernes 4 de abril del 2014, en el Salón Magnolia &amp; Bromelia Hotel Hilton Garden Inn., a las 11 a.m.</w:t>
            </w:r>
          </w:p>
          <w:p w:rsidR="00000000" w:rsidDel="00000000" w:rsidP="00000000" w:rsidRDefault="00000000" w:rsidRPr="00000000">
            <w:pPr>
              <w:ind w:left="45" w:hanging="45"/>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Para los fines correspondientes se transcribe el acuerdo tomado por el Consejo Institucional, citado en la referencia, el cual dice: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lineRule="auto"/>
        <w:contextualSpacing w:val="0"/>
        <w:jc w:val="both"/>
      </w:pPr>
      <w:r w:rsidDel="00000000" w:rsidR="00000000" w:rsidRPr="00000000">
        <w:rPr>
          <w:rFonts w:ascii="Arial" w:cs="Arial" w:eastAsia="Arial" w:hAnsi="Arial"/>
          <w:b w:val="1"/>
          <w:sz w:val="24"/>
          <w:szCs w:val="24"/>
          <w:rtl w:val="0"/>
        </w:rPr>
        <w:t xml:space="preserve">CONSIDERANDO QUE:</w:t>
      </w:r>
    </w:p>
    <w:p w:rsidR="00000000" w:rsidDel="00000000" w:rsidP="00000000" w:rsidRDefault="00000000" w:rsidRPr="00000000">
      <w:pPr>
        <w:ind w:left="1320" w:hanging="132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360" w:hanging="360"/>
        <w:jc w:val="both"/>
        <w:rPr>
          <w:rFonts w:ascii="Arial" w:cs="Arial" w:eastAsia="Arial" w:hAnsi="Arial"/>
          <w:sz w:val="24"/>
          <w:szCs w:val="24"/>
        </w:rPr>
      </w:pPr>
      <w:r w:rsidDel="00000000" w:rsidR="00000000" w:rsidRPr="00000000">
        <w:rPr>
          <w:rFonts w:ascii="Arial" w:cs="Arial" w:eastAsia="Arial" w:hAnsi="Arial"/>
          <w:b w:val="0"/>
          <w:sz w:val="24"/>
          <w:szCs w:val="24"/>
          <w:rtl w:val="0"/>
        </w:rPr>
        <w:t xml:space="preserve">La Secretaría del Consejo Institucional recibió el oficio MAE-033-2014, con fecha de recibido 14 de febrero de 2014, suscrito por el Dr.  Juan Carlos Leiva, Coordinador de la Maestría en Administración de Empresas, dirigido a los Señores del Consejo Institucional, en el cual solicita nombrar un representante del Consejo Institucional, con el fin de que pueda participar en la graduación del Programa de Maestría en la Sede de Liberia.  Asimismo, se informa que el acto se llevará a cabo el viernes 4 de abril de 2014, a las 11:00 a.m. en el Salón Magnolia &amp; Bomelia Hotel Hilton Garden Inn.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bookmarkStart w:colFirst="0" w:colLast="0" w:name="_30j0zll" w:id="1"/>
      <w:bookmarkEnd w:id="1"/>
      <w:r w:rsidDel="00000000" w:rsidR="00000000" w:rsidRPr="00000000">
        <w:rPr>
          <w:rFonts w:ascii="Arial" w:cs="Arial" w:eastAsia="Arial" w:hAnsi="Arial"/>
          <w:b w:val="1"/>
          <w:sz w:val="24"/>
          <w:szCs w:val="24"/>
          <w:rtl w:val="0"/>
        </w:rPr>
        <w:t xml:space="preserve">SE ACUERDA:</w:t>
      </w:r>
    </w:p>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91" w:hanging="360"/>
        <w:jc w:val="both"/>
        <w:rPr>
          <w:rFonts w:ascii="Arial" w:cs="Arial" w:eastAsia="Arial" w:hAnsi="Arial"/>
        </w:rPr>
      </w:pPr>
      <w:r w:rsidDel="00000000" w:rsidR="00000000" w:rsidRPr="00000000">
        <w:rPr>
          <w:rFonts w:ascii="Arial" w:cs="Arial" w:eastAsia="Arial" w:hAnsi="Arial"/>
          <w:b w:val="0"/>
          <w:sz w:val="24"/>
          <w:szCs w:val="24"/>
          <w:rtl w:val="0"/>
        </w:rPr>
        <w:t xml:space="preserve">Designar al Dr. Tomás Guzmán Hernández, como representante del Consejo Institucional, para que participe en el Acto de Graduación del Programa de Maestría en la Sede de Liberia, por celebrarse el viernes 4 de abril del 2014, en el Salón  Magnolia &amp; Bromelia  Hotel  Hilton  Garden Inn.,  a las 11 a.m.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360" w:right="-91" w:hanging="360"/>
        <w:jc w:val="both"/>
        <w:rPr>
          <w:rFonts w:ascii="Arial" w:cs="Arial" w:eastAsia="Arial" w:hAnsi="Arial"/>
        </w:rPr>
      </w:pPr>
      <w:r w:rsidDel="00000000" w:rsidR="00000000" w:rsidRPr="00000000">
        <w:rPr>
          <w:rFonts w:ascii="Arial" w:cs="Arial" w:eastAsia="Arial" w:hAnsi="Arial"/>
          <w:b w:val="0"/>
          <w:sz w:val="24"/>
          <w:szCs w:val="24"/>
          <w:rtl w:val="0"/>
        </w:rPr>
        <w:t xml:space="preserve">Comunicar. </w:t>
      </w:r>
      <w:r w:rsidDel="00000000" w:rsidR="00000000" w:rsidRPr="00000000">
        <w:rPr>
          <w:rFonts w:ascii="Arial" w:cs="Arial" w:eastAsia="Arial" w:hAnsi="Arial"/>
          <w:b w:val="1"/>
          <w:sz w:val="24"/>
          <w:szCs w:val="24"/>
          <w:rtl w:val="0"/>
        </w:rPr>
        <w:t xml:space="preserve">ACUERDO FIRME.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right="-40"/>
        <w:contextualSpacing w:val="0"/>
      </w:pPr>
      <w:r w:rsidDel="00000000" w:rsidR="00000000" w:rsidRPr="00000000">
        <w:rPr>
          <w:rFonts w:ascii="Arial" w:cs="Arial" w:eastAsia="Arial" w:hAnsi="Arial"/>
          <w:b w:val="1"/>
          <w:i w:val="1"/>
          <w:sz w:val="18"/>
          <w:szCs w:val="18"/>
          <w:rtl w:val="0"/>
        </w:rPr>
        <w:t xml:space="preserve">COMUNICACIÓN DE ACUERDO</w:t>
      </w:r>
    </w:p>
    <w:p w:rsidR="00000000" w:rsidDel="00000000" w:rsidP="00000000" w:rsidRDefault="00000000" w:rsidRPr="00000000">
      <w:pPr>
        <w:ind w:right="584"/>
        <w:contextualSpacing w:val="0"/>
        <w:jc w:val="both"/>
      </w:pPr>
      <w:r w:rsidDel="00000000" w:rsidR="00000000" w:rsidRPr="00000000">
        <w:rPr>
          <w:rFonts w:ascii="Arial" w:cs="Arial" w:eastAsia="Arial" w:hAnsi="Arial"/>
          <w:i w:val="1"/>
          <w:sz w:val="18"/>
          <w:szCs w:val="18"/>
          <w:rtl w:val="0"/>
        </w:rPr>
        <w:t xml:space="preserve">Sesión Ordinaria No. 2857, Artículo 8  del 19 de febrero de 2014</w:t>
      </w:r>
    </w:p>
    <w:p w:rsidR="00000000" w:rsidDel="00000000" w:rsidP="00000000" w:rsidRDefault="00000000" w:rsidRPr="00000000">
      <w:pPr>
        <w:tabs>
          <w:tab w:val="center" w:pos="4419"/>
          <w:tab w:val="right" w:pos="8838"/>
        </w:tabs>
        <w:contextualSpacing w:val="0"/>
      </w:pPr>
      <w:r w:rsidDel="00000000" w:rsidR="00000000" w:rsidRPr="00000000">
        <w:rPr>
          <w:rFonts w:ascii="Arial" w:cs="Arial" w:eastAsia="Arial" w:hAnsi="Arial"/>
          <w:i w:val="1"/>
          <w:sz w:val="18"/>
          <w:szCs w:val="18"/>
          <w:rtl w:val="0"/>
        </w:rPr>
        <w:t xml:space="preserve">Página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18"/>
          <w:szCs w:val="18"/>
          <w:rtl w:val="0"/>
        </w:rPr>
        <w:t xml:space="preserve">BSS/apmc</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bl>
      <w:tblPr>
        <w:tblStyle w:val="Table2"/>
        <w:bidi w:val="0"/>
        <w:tblW w:w="9464.0" w:type="dxa"/>
        <w:jc w:val="left"/>
        <w:tblInd w:w="-115.0" w:type="dxa"/>
        <w:tblLayout w:type="fixed"/>
        <w:tblLook w:val="0400"/>
      </w:tblPr>
      <w:tblGrid>
        <w:gridCol w:w="4361"/>
        <w:gridCol w:w="5103"/>
        <w:tblGridChange w:id="0">
          <w:tblGrid>
            <w:gridCol w:w="4361"/>
            <w:gridCol w:w="5103"/>
          </w:tblGrid>
        </w:tblGridChange>
      </w:tblGrid>
      <w:tr>
        <w:trPr>
          <w:trHeight w:val="180" w:hRule="atLeast"/>
        </w:trPr>
        <w:tc>
          <w:tcPr/>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ci.  Secretaría del Consejo Institucional</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Vicerrectoría Docencia</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VIE</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Vicerrectoría de Administración</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Sede Regional San Carlos</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Centro Académico de San José</w:t>
            </w:r>
          </w:p>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Oficina de Planificación Institucional</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Centro Académico de Limón</w:t>
            </w:r>
          </w:p>
          <w:p w:rsidR="00000000" w:rsidDel="00000000" w:rsidP="00000000" w:rsidRDefault="00000000" w:rsidRPr="00000000">
            <w:pPr>
              <w:contextualSpacing w:val="0"/>
              <w:jc w:val="both"/>
            </w:pPr>
            <w:r w:rsidDel="00000000" w:rsidR="00000000" w:rsidRPr="00000000">
              <w:rPr>
                <w:rtl w:val="0"/>
              </w:rPr>
            </w:r>
          </w:p>
        </w:tc>
        <w:tc>
          <w:tcPr/>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Oficina  de Asesoría Legal</w:t>
            </w:r>
          </w:p>
          <w:p w:rsidR="00000000" w:rsidDel="00000000" w:rsidP="00000000" w:rsidRDefault="00000000" w:rsidRPr="00000000">
            <w:pPr>
              <w:ind w:firstLine="34"/>
              <w:contextualSpacing w:val="0"/>
              <w:jc w:val="both"/>
            </w:pPr>
            <w:r w:rsidDel="00000000" w:rsidR="00000000" w:rsidRPr="00000000">
              <w:rPr>
                <w:rFonts w:ascii="Arial" w:cs="Arial" w:eastAsia="Arial" w:hAnsi="Arial"/>
                <w:b w:val="1"/>
                <w:sz w:val="16"/>
                <w:szCs w:val="16"/>
                <w:rtl w:val="0"/>
              </w:rPr>
              <w:t xml:space="preserve">Auditoría Interna (Notificado a la Secretaria vía correo electrónico)</w:t>
            </w:r>
          </w:p>
          <w:p w:rsidR="00000000" w:rsidDel="00000000" w:rsidP="00000000" w:rsidRDefault="00000000" w:rsidRPr="00000000">
            <w:pPr>
              <w:ind w:left="720" w:hanging="720"/>
              <w:contextualSpacing w:val="0"/>
              <w:jc w:val="both"/>
            </w:pPr>
            <w:r w:rsidDel="00000000" w:rsidR="00000000" w:rsidRPr="00000000">
              <w:rPr>
                <w:rFonts w:ascii="Arial" w:cs="Arial" w:eastAsia="Arial" w:hAnsi="Arial"/>
                <w:b w:val="1"/>
                <w:sz w:val="16"/>
                <w:szCs w:val="16"/>
                <w:rtl w:val="0"/>
              </w:rPr>
              <w:t xml:space="preserve">Oficina de Comunicación y Mercadeo </w:t>
            </w:r>
          </w:p>
          <w:p w:rsidR="00000000" w:rsidDel="00000000" w:rsidP="00000000" w:rsidRDefault="00000000" w:rsidRPr="00000000">
            <w:pPr>
              <w:ind w:left="720" w:hanging="720"/>
              <w:contextualSpacing w:val="0"/>
              <w:jc w:val="both"/>
            </w:pPr>
            <w:r w:rsidDel="00000000" w:rsidR="00000000" w:rsidRPr="00000000">
              <w:rPr>
                <w:rFonts w:ascii="Arial" w:cs="Arial" w:eastAsia="Arial" w:hAnsi="Arial"/>
                <w:b w:val="1"/>
                <w:sz w:val="16"/>
                <w:szCs w:val="16"/>
                <w:rtl w:val="0"/>
              </w:rPr>
              <w:t xml:space="preserve">Centro de Archivo y Comunicaciones</w:t>
            </w:r>
          </w:p>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FEITEC</w:t>
            </w:r>
          </w:p>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sectPr>
      <w:headerReference r:id="rId5" w:type="default"/>
      <w:footerReference r:id="rId6" w:type="default"/>
      <w:pgSz w:h="15842" w:w="12242"/>
      <w:pgMar w:bottom="1135" w:top="1418" w:left="1701" w:right="175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9" w:before="0" w:line="240" w:lineRule="auto"/>
      <w:contextualSpacing w:val="0"/>
      <w:jc w:val="center"/>
    </w:pPr>
    <w:fldSimple w:instr="PAGE" w:fldLock="0" w:dirty="0">
      <w:r w:rsidDel="00000000" w:rsidR="00000000" w:rsidRPr="00000000">
        <w:rPr>
          <w:rFonts w:ascii="Times New Roman" w:cs="Times New Roman" w:eastAsia="Times New Roman" w:hAnsi="Times New Roman"/>
          <w:b w:val="0"/>
          <w:sz w:val="20"/>
          <w:szCs w:val="20"/>
        </w:rPr>
      </w:r>
    </w:fldSimple>
    <w:r w:rsidDel="00000000" w:rsidR="00000000" w:rsidRPr="00000000">
      <w:rPr>
        <w:rtl w:val="0"/>
      </w:rPr>
    </w:r>
  </w:p>
  <w:p w:rsidR="00000000" w:rsidDel="00000000" w:rsidP="00000000" w:rsidRDefault="00000000" w:rsidRPr="00000000">
    <w:pPr>
      <w:tabs>
        <w:tab w:val="center" w:pos="4252"/>
        <w:tab w:val="right" w:pos="8504"/>
      </w:tabs>
      <w:spacing w:after="709"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6"/>
      <w:spacing w:after="0" w:before="709" w:lineRule="auto"/>
      <w:contextualSpacing w:val="0"/>
      <w:jc w:val="right"/>
    </w:pPr>
    <w:r w:rsidDel="00000000" w:rsidR="00000000" w:rsidRPr="00000000">
      <w:rPr>
        <w:rFonts w:ascii="Arial" w:cs="Arial" w:eastAsia="Arial" w:hAnsi="Arial"/>
        <w:sz w:val="18"/>
        <w:szCs w:val="18"/>
        <w:rtl w:val="0"/>
      </w:rPr>
      <w:t xml:space="preserve">Instituto Tecnológico de Costa Rica</w:t>
    </w:r>
    <w:r w:rsidDel="00000000" w:rsidR="00000000" w:rsidRPr="00000000">
      <w:rPr>
        <w:rtl w:val="0"/>
      </w:rPr>
    </w:r>
  </w:p>
  <w:p w:rsidR="00000000" w:rsidDel="00000000" w:rsidP="00000000" w:rsidRDefault="00000000" w:rsidRPr="00000000">
    <w:pPr>
      <w:tabs>
        <w:tab w:val="left" w:pos="5954"/>
      </w:tabs>
      <w:contextualSpacing w:val="0"/>
      <w:jc w:val="right"/>
    </w:pPr>
    <w:r w:rsidDel="00000000" w:rsidR="00000000" w:rsidRPr="00000000">
      <w:rPr>
        <w:rFonts w:ascii="Arial" w:cs="Arial" w:eastAsia="Arial" w:hAnsi="Arial"/>
        <w:b w:val="1"/>
        <w:i w:val="1"/>
        <w:sz w:val="18"/>
        <w:szCs w:val="18"/>
        <w:rtl w:val="0"/>
      </w:rPr>
      <w:t xml:space="preserve">Secretaría Consejo Institucional</w:t>
    </w:r>
  </w:p>
  <w:p w:rsidR="00000000" w:rsidDel="00000000" w:rsidP="00000000" w:rsidRDefault="00000000" w:rsidRPr="00000000">
    <w:pPr>
      <w:tabs>
        <w:tab w:val="left" w:pos="5954"/>
      </w:tabs>
      <w:contextualSpacing w:val="0"/>
      <w:jc w:val="right"/>
    </w:pPr>
    <w:r w:rsidDel="00000000" w:rsidR="00000000" w:rsidRPr="00000000">
      <w:rPr>
        <w:rFonts w:ascii="Arial" w:cs="Arial" w:eastAsia="Arial" w:hAnsi="Arial"/>
        <w:b w:val="1"/>
        <w:i w:val="1"/>
        <w:sz w:val="18"/>
        <w:szCs w:val="18"/>
        <w:rtl w:val="0"/>
      </w:rPr>
      <w:t xml:space="preserve">Ext.  2716-2239</w:t>
    </w:r>
    <w:r w:rsidDel="00000000" w:rsidR="00000000" w:rsidRPr="00000000">
      <w:rPr>
        <w:rtl w:val="0"/>
      </w:rPr>
    </w:r>
  </w:p>
  <w:p w:rsidR="00000000" w:rsidDel="00000000" w:rsidP="00000000" w:rsidRDefault="00000000" w:rsidRPr="00000000">
    <w:pPr>
      <w:tabs>
        <w:tab w:val="center" w:pos="4252"/>
        <w:tab w:val="right" w:pos="8504"/>
      </w:tabs>
      <w:spacing w:after="0" w:before="0" w:line="240" w:lineRule="auto"/>
      <w:ind w:right="-374"/>
      <w:contextualSpacing w:val="0"/>
      <w:jc w:val="center"/>
    </w:pPr>
    <w:r w:rsidDel="00000000" w:rsidR="00000000" w:rsidRPr="00000000">
      <w:drawing>
        <wp:inline distB="0" distT="0" distL="0" distR="0">
          <wp:extent cx="5384800" cy="152400"/>
          <wp:effectExtent b="0" l="0" r="0" t="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5384800" cy="152400"/>
                  </a:xfrm>
                  <a:prstGeom prst="rect"/>
                  <a:ln/>
                </pic:spPr>
              </pic:pic>
            </a:graphicData>
          </a:graphic>
        </wp:inline>
      </w:drawing>
    </w:r>
    <w:r w:rsidDel="00000000" w:rsidR="00000000" w:rsidRPr="00000000">
      <w:rPr>
        <w:rtl w:val="0"/>
      </w:rPr>
    </w:r>
  </w:p>
  <w:p w:rsidR="00000000" w:rsidDel="00000000" w:rsidP="00000000" w:rsidRDefault="00000000" w:rsidRPr="00000000">
    <w:pPr>
      <w:tabs>
        <w:tab w:val="center" w:pos="4252"/>
        <w:tab w:val="right" w:pos="8504"/>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b w:val="1"/>
        <w:i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720" w:firstLine="360"/>
      </w:pPr>
      <w:rPr>
        <w:b w:val="1"/>
        <w:strike w:val="0"/>
        <w:sz w:val="24"/>
        <w:szCs w:val="24"/>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jc w:val="both"/>
    </w:pPr>
    <w:rPr>
      <w:rFonts w:ascii="Cambria" w:cs="Cambria" w:eastAsia="Cambria" w:hAnsi="Cambria"/>
      <w:b w:val="1"/>
      <w:sz w:val="32"/>
      <w:szCs w:val="32"/>
    </w:rPr>
  </w:style>
  <w:style w:type="paragraph" w:styleId="Heading2">
    <w:name w:val="heading 2"/>
    <w:basedOn w:val="Normal"/>
    <w:next w:val="Normal"/>
    <w:pPr>
      <w:keepNext w:val="1"/>
      <w:keepLines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0" w:before="60" w:line="240" w:lineRule="auto"/>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60" w:before="240" w:line="240" w:lineRule="auto"/>
    </w:pPr>
    <w:rPr>
      <w:rFonts w:ascii="Times New Roman" w:cs="Times New Roman" w:eastAsia="Times New Roman" w:hAnsi="Times New Roman"/>
      <w:b w:val="1"/>
      <w:i w:val="1"/>
      <w:sz w:val="22"/>
      <w:szCs w:val="22"/>
    </w:rPr>
  </w:style>
  <w:style w:type="paragraph" w:styleId="Title">
    <w:name w:val="Title"/>
    <w:basedOn w:val="Normal"/>
    <w:next w:val="Normal"/>
    <w:pPr>
      <w:keepNext w:val="1"/>
      <w:keepLines w:val="1"/>
      <w:spacing w:after="0" w:before="0" w:line="240" w:lineRule="auto"/>
      <w:jc w:val="center"/>
    </w:pPr>
    <w:rPr>
      <w:rFonts w:ascii="Arial" w:cs="Arial" w:eastAsia="Arial" w:hAnsi="Arial"/>
      <w:b w:val="1"/>
      <w:sz w:val="22"/>
      <w:szCs w:val="2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