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_gjdgxs" w:id="0"/>
      <w:bookmarkEnd w:id="0"/>
      <w:r w:rsidDel="00000000" w:rsidR="00000000" w:rsidRPr="00000000">
        <w:rPr>
          <w:rFonts w:ascii="Arial" w:cs="Arial" w:eastAsia="Arial" w:hAnsi="Arial"/>
          <w:b w:val="1"/>
          <w:sz w:val="26"/>
          <w:szCs w:val="26"/>
          <w:rtl w:val="0"/>
        </w:rPr>
        <w:t xml:space="preserve">SCI-90-2014</w:t>
      </w:r>
    </w:p>
    <w:p w:rsidR="00000000" w:rsidDel="00000000" w:rsidP="00000000" w:rsidRDefault="00000000" w:rsidRPr="00000000">
      <w:pPr>
        <w:contextualSpacing w:val="0"/>
      </w:pPr>
      <w:r w:rsidDel="00000000" w:rsidR="00000000" w:rsidRPr="00000000">
        <w:rPr>
          <w:rFonts w:ascii="Arial" w:cs="Arial" w:eastAsia="Arial" w:hAnsi="Arial"/>
          <w:b w:val="1"/>
          <w:sz w:val="40"/>
          <w:szCs w:val="40"/>
          <w:rtl w:val="0"/>
        </w:rPr>
        <w:t xml:space="preserve">Comunicación de acuerdo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tbl>
      <w:tblPr>
        <w:tblStyle w:val="Table1"/>
        <w:bidi w:val="0"/>
        <w:tblW w:w="9781.0" w:type="dxa"/>
        <w:jc w:val="left"/>
        <w:tblInd w:w="-6.999999999999993" w:type="dxa"/>
        <w:tblLayout w:type="fixed"/>
        <w:tblLook w:val="0000"/>
      </w:tblPr>
      <w:tblGrid>
        <w:gridCol w:w="1123"/>
        <w:gridCol w:w="11"/>
        <w:gridCol w:w="8647"/>
        <w:tblGridChange w:id="0">
          <w:tblGrid>
            <w:gridCol w:w="1123"/>
            <w:gridCol w:w="11"/>
            <w:gridCol w:w="8647"/>
          </w:tblGrid>
        </w:tblGridChange>
      </w:tblGrid>
      <w:tr>
        <w:tc>
          <w:tcPr>
            <w:gridSpan w:val="2"/>
          </w:tcPr>
          <w:p w:rsidR="00000000" w:rsidDel="00000000" w:rsidP="00000000" w:rsidRDefault="00000000" w:rsidRPr="00000000">
            <w:pPr>
              <w:tabs>
                <w:tab w:val="right" w:pos="2100"/>
                <w:tab w:val="left" w:pos="2694"/>
              </w:tabs>
              <w:contextualSpacing w:val="0"/>
            </w:pPr>
            <w:r w:rsidDel="00000000" w:rsidR="00000000" w:rsidRPr="00000000">
              <w:rPr>
                <w:rFonts w:ascii="Arial" w:cs="Arial" w:eastAsia="Arial" w:hAnsi="Arial"/>
                <w:b w:val="1"/>
                <w:sz w:val="24"/>
                <w:szCs w:val="24"/>
                <w:rtl w:val="0"/>
              </w:rPr>
              <w:t xml:space="preserve">Para:</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Dr. Julio Calvo A, Rector</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Licda. Guiselle Segnini, Gerente Área Servicios Sociales</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Dirección Fiscalización Operativa y Evaluativa</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Contraloría General de la República</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MAE. William Vives, Vicerrector de Administración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Lic. Roy D’Avazo, Director Departamento Financiero Contable</w:t>
            </w:r>
          </w:p>
          <w:p w:rsidR="00000000" w:rsidDel="00000000" w:rsidP="00000000" w:rsidRDefault="00000000" w:rsidRPr="00000000">
            <w:pPr>
              <w:ind w:left="45" w:firstLine="0"/>
              <w:contextualSpacing w:val="0"/>
              <w:jc w:val="both"/>
            </w:pPr>
            <w:r w:rsidDel="00000000" w:rsidR="00000000" w:rsidRPr="00000000">
              <w:rPr>
                <w:rtl w:val="0"/>
              </w:rPr>
            </w:r>
          </w:p>
        </w:tc>
      </w:tr>
      <w:tr>
        <w:tc>
          <w:tcPr>
            <w:gridSpan w:val="2"/>
          </w:tcPr>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De: </w:t>
            </w:r>
          </w:p>
        </w:tc>
        <w:tc>
          <w:tcPr/>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Licda. Bertalía Sánchez Salas, Directora Ejecutiva </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Secretaría del Consejo Institucional</w:t>
            </w:r>
          </w:p>
          <w:p w:rsidR="00000000" w:rsidDel="00000000" w:rsidP="00000000" w:rsidRDefault="00000000" w:rsidRPr="00000000">
            <w:pPr>
              <w:ind w:left="45" w:firstLine="0"/>
              <w:contextualSpacing w:val="0"/>
              <w:jc w:val="both"/>
            </w:pPr>
            <w:r w:rsidDel="00000000" w:rsidR="00000000" w:rsidRPr="00000000">
              <w:rPr>
                <w:rFonts w:ascii="Arial" w:cs="Arial" w:eastAsia="Arial" w:hAnsi="Arial"/>
                <w:sz w:val="24"/>
                <w:szCs w:val="24"/>
                <w:rtl w:val="0"/>
              </w:rPr>
              <w:t xml:space="preserve">Instituto Tecnológico de Costa Rica</w:t>
            </w:r>
            <w:r w:rsidDel="00000000" w:rsidR="00000000" w:rsidRPr="00000000">
              <w:rPr>
                <w:rFonts w:ascii="Arial" w:cs="Arial" w:eastAsia="Arial" w:hAnsi="Arial"/>
                <w:sz w:val="22"/>
                <w:szCs w:val="22"/>
                <w:rtl w:val="0"/>
              </w:rPr>
              <w:t xml:space="preserve"> </w:t>
            </w:r>
          </w:p>
        </w:tc>
      </w:tr>
      <w:tr>
        <w:trPr>
          <w:trHeight w:val="320" w:hRule="atLeast"/>
        </w:trPr>
        <w:tc>
          <w:tcPr>
            <w:gridSpan w:val="2"/>
          </w:tcPr>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24"/>
                <w:szCs w:val="24"/>
                <w:rtl w:val="0"/>
              </w:rPr>
              <w:t xml:space="preserve">Fecha:</w:t>
            </w:r>
          </w:p>
        </w:tc>
        <w:tc>
          <w:tcPr/>
          <w:p w:rsidR="00000000" w:rsidDel="00000000" w:rsidP="00000000" w:rsidRDefault="00000000" w:rsidRPr="00000000">
            <w:pPr>
              <w:tabs>
                <w:tab w:val="right" w:pos="2410"/>
                <w:tab w:val="left" w:pos="2694"/>
              </w:tabs>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24"/>
                <w:szCs w:val="24"/>
                <w:rtl w:val="0"/>
              </w:rPr>
              <w:t xml:space="preserve">19 de febrero de 2014</w:t>
            </w:r>
          </w:p>
        </w:tc>
      </w:tr>
      <w:tr>
        <w:trPr>
          <w:trHeight w:val="280" w:hRule="atLeast"/>
        </w:trPr>
        <w:tc>
          <w:tcPr>
            <w:gridSpan w:val="2"/>
          </w:tcPr>
          <w:p w:rsidR="00000000" w:rsidDel="00000000" w:rsidP="00000000" w:rsidRDefault="00000000" w:rsidRPr="00000000">
            <w:pPr>
              <w:contextualSpacing w:val="0"/>
            </w:pPr>
            <w:r w:rsidDel="00000000" w:rsidR="00000000" w:rsidRPr="00000000">
              <w:rPr>
                <w:rtl w:val="0"/>
              </w:rPr>
            </w:r>
          </w:p>
        </w:tc>
        <w:tc>
          <w:tcPr/>
          <w:p w:rsidR="00000000" w:rsidDel="00000000" w:rsidP="00000000" w:rsidRDefault="00000000" w:rsidRPr="00000000">
            <w:pPr>
              <w:contextualSpacing w:val="0"/>
            </w:pPr>
            <w:r w:rsidDel="00000000" w:rsidR="00000000" w:rsidRPr="00000000">
              <w:rPr>
                <w:rtl w:val="0"/>
              </w:rPr>
            </w:r>
          </w:p>
        </w:tc>
      </w:tr>
      <w:tr>
        <w:trPr>
          <w:trHeight w:val="320" w:hRule="atLeast"/>
        </w:trPr>
        <w:tc>
          <w:tcPr/>
          <w:p w:rsidR="00000000" w:rsidDel="00000000" w:rsidP="00000000" w:rsidRDefault="00000000" w:rsidRPr="00000000">
            <w:pPr>
              <w:contextualSpacing w:val="0"/>
            </w:pPr>
            <w:r w:rsidDel="00000000" w:rsidR="00000000" w:rsidRPr="00000000">
              <w:rPr>
                <w:rFonts w:ascii="Arial" w:cs="Arial" w:eastAsia="Arial" w:hAnsi="Arial"/>
                <w:b w:val="1"/>
                <w:sz w:val="22"/>
                <w:szCs w:val="22"/>
                <w:rtl w:val="0"/>
              </w:rPr>
              <w:t xml:space="preserve">Asunto:</w:t>
            </w:r>
          </w:p>
        </w:tc>
        <w:tc>
          <w:tcPr>
            <w:gridSpan w:val="2"/>
          </w:tcPr>
          <w:p w:rsidR="00000000" w:rsidDel="00000000" w:rsidP="00000000" w:rsidRDefault="00000000" w:rsidRPr="00000000">
            <w:pPr>
              <w:ind w:left="45" w:hanging="45"/>
              <w:contextualSpacing w:val="0"/>
              <w:jc w:val="both"/>
            </w:pPr>
            <w:r w:rsidDel="00000000" w:rsidR="00000000" w:rsidRPr="00000000">
              <w:rPr>
                <w:rFonts w:ascii="Arial" w:cs="Arial" w:eastAsia="Arial" w:hAnsi="Arial"/>
                <w:b w:val="1"/>
                <w:sz w:val="22"/>
                <w:szCs w:val="22"/>
                <w:rtl w:val="0"/>
              </w:rPr>
              <w:t xml:space="preserve">Sesión Ordinaria No. 2857 Artículo 9, del 19 de febrero de 2014, </w:t>
            </w:r>
            <w:r w:rsidDel="00000000" w:rsidR="00000000" w:rsidRPr="00000000">
              <w:rPr>
                <w:rFonts w:ascii="Arial" w:cs="Arial" w:eastAsia="Arial" w:hAnsi="Arial"/>
                <w:b w:val="1"/>
                <w:sz w:val="24"/>
                <w:szCs w:val="24"/>
                <w:rtl w:val="0"/>
              </w:rPr>
              <w:t xml:space="preserve">Informe de Ejecución Presupuestaria al 31 de diciembre 2013</w:t>
            </w:r>
          </w:p>
          <w:p w:rsidR="00000000" w:rsidDel="00000000" w:rsidP="00000000" w:rsidRDefault="00000000" w:rsidRPr="00000000">
            <w:pPr>
              <w:ind w:left="45" w:hanging="45"/>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Fonts w:ascii="Arial" w:cs="Arial" w:eastAsia="Arial" w:hAnsi="Arial"/>
          <w:sz w:val="24"/>
          <w:szCs w:val="24"/>
          <w:rtl w:val="0"/>
        </w:rPr>
        <w:t xml:space="preserve">Para los fines correspondientes se transcribe el acuerdo tomado por el Consejo Institucional, citado en la referencia, el cual dice: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Rule="auto"/>
        <w:contextualSpacing w:val="0"/>
        <w:jc w:val="both"/>
      </w:pPr>
      <w:r w:rsidDel="00000000" w:rsidR="00000000" w:rsidRPr="00000000">
        <w:rPr>
          <w:rFonts w:ascii="Arial" w:cs="Arial" w:eastAsia="Arial" w:hAnsi="Arial"/>
          <w:b w:val="1"/>
          <w:sz w:val="24"/>
          <w:szCs w:val="24"/>
          <w:rtl w:val="0"/>
        </w:rPr>
        <w:t xml:space="preserve">CONSIDERANDO QUE:</w:t>
      </w:r>
    </w:p>
    <w:p w:rsidR="00000000" w:rsidDel="00000000" w:rsidP="00000000" w:rsidRDefault="00000000" w:rsidRPr="00000000">
      <w:pPr>
        <w:ind w:left="1320" w:hanging="132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Secretaría del Consejo Institucional recibió el oficio R-058-2014, del 10 de febrero de 2014, suscrito por el Dr.  Julio C.  Calvo Alvarado, Rector, dirigido al Ing.  Alexander Valerín, Coordinador de la Comisión de Planificación y Administración, en el cual se remite el Informe de Ejecución Presupuestaria al 31 de diciembre del 2013.</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De conformidad con lo establecido en las Normas Técnicas sobre Presupuesto Público, emitidas por medio de Resolución R-DC-024-2012 del Despacho Contralor, a las nueve horas del veintiséis de marzo de dos mil doce, la información de la ejecución del presupuesto correspondiente al cuarto trimestre del año, que conforme con lo establecido en la norma No.  4.3.15 debe presentarse ante el Órgano Contralor y debe incorporarse al Sistema de Planes y Presupuestos (SIPP), a más tardar 15 días hábiles posteriores a la fecha de cierre.</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Comisión de Planificación y Administración, en reunión extraordinaria No.  566-2014, realizada el 13 de febrero de 2014, recibió al M.B.A.  William Vives, Vicerrector de Administración; Lic.  Walter Sequeira, Director del Departamento de Aprovisionamiento; Lic. Roy D'Avanzo, Lic.  Johnny Masís, Licda.  Silvia   Watson, Licda.  Kathya   Piedra  y  Lic.  Gustavo  Solórzano, del </w:t>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18"/>
          <w:szCs w:val="18"/>
          <w:rtl w:val="0"/>
        </w:rPr>
        <w:t xml:space="preserve">COMUNICACIÓN DE ACUERDO</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Sesión Ordinaria No. 2857, Artículo 9  del 19 de febrero de 2014</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Página 2</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708" w:firstLine="0"/>
        <w:contextualSpacing w:val="0"/>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Fonts w:ascii="Arial" w:cs="Arial" w:eastAsia="Arial" w:hAnsi="Arial"/>
          <w:b w:val="0"/>
          <w:sz w:val="24"/>
          <w:szCs w:val="24"/>
          <w:rtl w:val="0"/>
        </w:rPr>
        <w:t xml:space="preserve">Departamento Financiero Contable; el MAE.  Nelson Ortega del Departamento de Recursos Humanos; el Lic.  Isidro Álvarez y la Licda.  Deyanira Meza de la Auditoría Interna; la MAU.  Tatiana Fernández, la Licda.  Mercedes Mora y el Lic.  José Antonio Sánchez de la Oficina de Planificación Institucional; en la cual exponen el Informe de Ejecución Presupuestaria al 31 de diciembre del 2013.  Los miembros de la Comisión realizan algunas observaciones en cuanto a:</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2"/>
        </w:numPr>
        <w:spacing w:after="0" w:before="0" w:line="240"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Superávit</w:t>
      </w:r>
    </w:p>
    <w:p w:rsidR="00000000" w:rsidDel="00000000" w:rsidP="00000000" w:rsidRDefault="00000000" w:rsidRPr="00000000">
      <w:pPr>
        <w:numPr>
          <w:ilvl w:val="0"/>
          <w:numId w:val="2"/>
        </w:numPr>
        <w:spacing w:after="0" w:before="0" w:line="240"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Estimación de Ingresos y egresos</w:t>
      </w:r>
    </w:p>
    <w:p w:rsidR="00000000" w:rsidDel="00000000" w:rsidP="00000000" w:rsidRDefault="00000000" w:rsidRPr="00000000">
      <w:pPr>
        <w:numPr>
          <w:ilvl w:val="0"/>
          <w:numId w:val="2"/>
        </w:numPr>
        <w:spacing w:after="0" w:before="0" w:line="240"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Porcentajes de Ejecución de las distintas partidas.</w:t>
      </w:r>
    </w:p>
    <w:p w:rsidR="00000000" w:rsidDel="00000000" w:rsidP="00000000" w:rsidRDefault="00000000" w:rsidRPr="00000000">
      <w:pPr>
        <w:numPr>
          <w:ilvl w:val="0"/>
          <w:numId w:val="2"/>
        </w:numPr>
        <w:spacing w:after="0" w:before="0" w:line="240"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El informe de la Auditoría Interna</w:t>
      </w:r>
    </w:p>
    <w:p w:rsidR="00000000" w:rsidDel="00000000" w:rsidP="00000000" w:rsidRDefault="00000000" w:rsidRPr="00000000">
      <w:pPr>
        <w:numPr>
          <w:ilvl w:val="0"/>
          <w:numId w:val="2"/>
        </w:numPr>
        <w:spacing w:after="0" w:before="0" w:line="240" w:lineRule="auto"/>
        <w:ind w:left="720" w:hanging="360"/>
        <w:contextualSpacing w:val="1"/>
        <w:jc w:val="both"/>
        <w:rPr>
          <w:b w:val="0"/>
          <w:sz w:val="24"/>
          <w:szCs w:val="24"/>
        </w:rPr>
      </w:pPr>
      <w:r w:rsidDel="00000000" w:rsidR="00000000" w:rsidRPr="00000000">
        <w:rPr>
          <w:rFonts w:ascii="Arial" w:cs="Arial" w:eastAsia="Arial" w:hAnsi="Arial"/>
          <w:b w:val="0"/>
          <w:sz w:val="24"/>
          <w:szCs w:val="24"/>
          <w:rtl w:val="0"/>
        </w:rPr>
        <w:t xml:space="preserve">Entre otras</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Fonts w:ascii="Arial" w:cs="Arial" w:eastAsia="Arial" w:hAnsi="Arial"/>
          <w:b w:val="0"/>
          <w:sz w:val="24"/>
          <w:szCs w:val="24"/>
          <w:rtl w:val="0"/>
        </w:rPr>
        <w:t xml:space="preserve">Algunas de estas observaciones son aclaradas en la reunión, tanto por los funcionarios de los entes técnicos como por las autoridades ejecutivas presentes en la reunión.</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Comisión de Planificación y Administración, en reunión No.  566-2014, realizada el 13 de febrero de 2014, dispone elevar la siguiente propuesta al Consejo Institucional.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
        </w:numPr>
        <w:spacing w:after="0" w:before="0" w:line="240" w:lineRule="auto"/>
        <w:ind w:left="360" w:hanging="360"/>
        <w:jc w:val="both"/>
        <w:rPr>
          <w:rFonts w:ascii="Arial" w:cs="Arial" w:eastAsia="Arial" w:hAnsi="Arial"/>
          <w:sz w:val="24"/>
          <w:szCs w:val="24"/>
        </w:rPr>
      </w:pPr>
      <w:r w:rsidDel="00000000" w:rsidR="00000000" w:rsidRPr="00000000">
        <w:rPr>
          <w:rFonts w:ascii="Arial" w:cs="Arial" w:eastAsia="Arial" w:hAnsi="Arial"/>
          <w:b w:val="0"/>
          <w:sz w:val="24"/>
          <w:szCs w:val="24"/>
          <w:rtl w:val="0"/>
        </w:rPr>
        <w:t xml:space="preserve">La Secretaría del Consejo Institucional recibió el oficio AUDI-028-2014, con fecha de recibido 17 de febrero de 2014, suscrito por el Lic.  Isidro Álvarez Salazar, Auditor Interno, dirigido al Dr.  Julio Calvo Alvarado, Presidente del Consejo Institucional, en el cual remite Informe AUDI-AS-002-2014, </w:t>
      </w:r>
      <w:r w:rsidDel="00000000" w:rsidR="00000000" w:rsidRPr="00000000">
        <w:rPr>
          <w:rFonts w:ascii="Arial" w:cs="Arial" w:eastAsia="Arial" w:hAnsi="Arial"/>
          <w:b w:val="0"/>
          <w:i w:val="1"/>
          <w:sz w:val="24"/>
          <w:szCs w:val="24"/>
          <w:rtl w:val="0"/>
        </w:rPr>
        <w:t xml:space="preserve">“Observaciones al Informe de Ejecución Presupuestaria al 31 de diciembre de 2013”</w:t>
      </w:r>
      <w:r w:rsidDel="00000000" w:rsidR="00000000" w:rsidRPr="00000000">
        <w:rPr>
          <w:rFonts w:ascii="Arial" w:cs="Arial" w:eastAsia="Arial" w:hAnsi="Arial"/>
          <w:b w:val="0"/>
          <w:sz w:val="24"/>
          <w:szCs w:val="24"/>
          <w:rtl w:val="0"/>
        </w:rPr>
        <w:t xml:space="preserve">.</w:t>
      </w:r>
    </w:p>
    <w:p w:rsidR="00000000" w:rsidDel="00000000" w:rsidP="00000000" w:rsidRDefault="00000000" w:rsidRPr="00000000">
      <w:pPr>
        <w:tabs>
          <w:tab w:val="left" w:pos="426"/>
        </w:tabs>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Fonts w:ascii="Arial" w:cs="Arial" w:eastAsia="Arial" w:hAnsi="Arial"/>
          <w:b w:val="1"/>
          <w:sz w:val="24"/>
          <w:szCs w:val="24"/>
          <w:rtl w:val="0"/>
        </w:rPr>
        <w:t xml:space="preserve">SE ACUERDA:</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Dar por conocido el Informe de Ejecución Presupuestaria al 31 de diciembre de 2013, según documento adjunto.</w:t>
      </w:r>
    </w:p>
    <w:p w:rsidR="00000000" w:rsidDel="00000000" w:rsidP="00000000" w:rsidRDefault="00000000" w:rsidRPr="00000000">
      <w:pPr>
        <w:spacing w:after="0" w:before="0" w:line="240" w:lineRule="auto"/>
        <w:ind w:left="360" w:right="-91"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Solicitar a la Administración atender en lo que corresponda las observaciones de la Auditoría Interna presentadas en el Informe de Asesoría AUDI-AS-002-2014 “Observaciones al Informe de Ejecución Presupuestaria al 31 de diciembre de 2013”.</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w:cs="Arial" w:eastAsia="Arial" w:hAnsi="Arial"/>
          <w:b w:val="1"/>
          <w:sz w:val="18"/>
          <w:szCs w:val="18"/>
          <w:rtl w:val="0"/>
        </w:rPr>
        <w:t xml:space="preserve">COMUNICACIÓN DE ACUERDO</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Sesión Ordinaria No. 2857, Artículo 9  del 19 de febrero de 2014</w:t>
      </w:r>
    </w:p>
    <w:p w:rsidR="00000000" w:rsidDel="00000000" w:rsidP="00000000" w:rsidRDefault="00000000" w:rsidRPr="00000000">
      <w:pPr>
        <w:contextualSpacing w:val="0"/>
      </w:pPr>
      <w:r w:rsidDel="00000000" w:rsidR="00000000" w:rsidRPr="00000000">
        <w:rPr>
          <w:rFonts w:ascii="Arial" w:cs="Arial" w:eastAsia="Arial" w:hAnsi="Arial"/>
          <w:sz w:val="18"/>
          <w:szCs w:val="18"/>
          <w:rtl w:val="0"/>
        </w:rPr>
        <w:t xml:space="preserve">Página 3</w:t>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Remitir a la Contraloría General de la República el Informe de Ejecución Presupuestaria al 31 de diciembre de 2013.</w:t>
      </w:r>
    </w:p>
    <w:p w:rsidR="00000000" w:rsidDel="00000000" w:rsidP="00000000" w:rsidRDefault="00000000" w:rsidRPr="00000000">
      <w:pPr>
        <w:ind w:right="-91"/>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360" w:right="-91" w:hanging="360"/>
        <w:jc w:val="both"/>
        <w:rPr>
          <w:rFonts w:ascii="Arial" w:cs="Arial" w:eastAsia="Arial" w:hAnsi="Arial"/>
        </w:rPr>
      </w:pPr>
      <w:r w:rsidDel="00000000" w:rsidR="00000000" w:rsidRPr="00000000">
        <w:rPr>
          <w:rFonts w:ascii="Arial" w:cs="Arial" w:eastAsia="Arial" w:hAnsi="Arial"/>
          <w:b w:val="0"/>
          <w:sz w:val="24"/>
          <w:szCs w:val="24"/>
          <w:rtl w:val="0"/>
        </w:rPr>
        <w:t xml:space="preserve">Comunicar. </w:t>
      </w:r>
      <w:r w:rsidDel="00000000" w:rsidR="00000000" w:rsidRPr="00000000">
        <w:rPr>
          <w:rFonts w:ascii="Arial" w:cs="Arial" w:eastAsia="Arial" w:hAnsi="Arial"/>
          <w:b w:val="1"/>
          <w:sz w:val="24"/>
          <w:szCs w:val="24"/>
          <w:rtl w:val="0"/>
        </w:rPr>
        <w:t xml:space="preserve">ACUERDO FIRME.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b w:val="1"/>
          <w:sz w:val="18"/>
          <w:szCs w:val="18"/>
          <w:rtl w:val="0"/>
        </w:rPr>
        <w:t xml:space="preserve">Palabras  Clave: Ejecución-Presupuestaria-31 de diciembre 2013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bookmarkStart w:colFirst="0" w:colLast="0" w:name="_30j0zll" w:id="1"/>
      <w:bookmarkEnd w:id="1"/>
      <w:r w:rsidDel="00000000" w:rsidR="00000000" w:rsidRPr="00000000">
        <w:rPr>
          <w:rFonts w:ascii="Arial" w:cs="Arial" w:eastAsia="Arial" w:hAnsi="Arial"/>
          <w:sz w:val="18"/>
          <w:szCs w:val="18"/>
          <w:rtl w:val="0"/>
        </w:rPr>
        <w:t xml:space="preserve">BSS/apmc</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tbl>
      <w:tblPr>
        <w:tblStyle w:val="Table2"/>
        <w:bidi w:val="0"/>
        <w:tblW w:w="9464.0" w:type="dxa"/>
        <w:jc w:val="left"/>
        <w:tblInd w:w="-115.0" w:type="dxa"/>
        <w:tblLayout w:type="fixed"/>
        <w:tblLook w:val="0400"/>
      </w:tblPr>
      <w:tblGrid>
        <w:gridCol w:w="4361"/>
        <w:gridCol w:w="5103"/>
        <w:tblGridChange w:id="0">
          <w:tblGrid>
            <w:gridCol w:w="4361"/>
            <w:gridCol w:w="5103"/>
          </w:tblGrid>
        </w:tblGridChange>
      </w:tblGrid>
      <w:tr>
        <w:trPr>
          <w:trHeight w:val="180" w:hRule="atLeast"/>
        </w:trPr>
        <w:tc>
          <w:tcPr/>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ci.  Secretaría del Consejo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Vicerrectoría Docencia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VIESA</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Sede Regional San Carlos</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San José</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de Planificación Institucional</w:t>
            </w:r>
          </w:p>
          <w:p w:rsidR="00000000" w:rsidDel="00000000" w:rsidP="00000000" w:rsidRDefault="00000000" w:rsidRPr="00000000">
            <w:pPr>
              <w:ind w:left="-567" w:firstLine="567"/>
              <w:contextualSpacing w:val="0"/>
              <w:jc w:val="both"/>
            </w:pPr>
            <w:r w:rsidDel="00000000" w:rsidR="00000000" w:rsidRPr="00000000">
              <w:rPr>
                <w:rFonts w:ascii="Arial" w:cs="Arial" w:eastAsia="Arial" w:hAnsi="Arial"/>
                <w:b w:val="1"/>
                <w:sz w:val="16"/>
                <w:szCs w:val="16"/>
                <w:rtl w:val="0"/>
              </w:rPr>
              <w:t xml:space="preserve">Centro Académico de Limón</w:t>
            </w:r>
          </w:p>
          <w:p w:rsidR="00000000" w:rsidDel="00000000" w:rsidP="00000000" w:rsidRDefault="00000000" w:rsidRPr="00000000">
            <w:pPr>
              <w:contextualSpacing w:val="0"/>
              <w:jc w:val="both"/>
            </w:pPr>
            <w:r w:rsidDel="00000000" w:rsidR="00000000" w:rsidRPr="00000000">
              <w:rPr>
                <w:rtl w:val="0"/>
              </w:rPr>
            </w:r>
          </w:p>
        </w:tc>
        <w:tc>
          <w:tcPr/>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Oficina Asesoría Legal</w:t>
            </w:r>
          </w:p>
          <w:p w:rsidR="00000000" w:rsidDel="00000000" w:rsidP="00000000" w:rsidRDefault="00000000" w:rsidRPr="00000000">
            <w:pPr>
              <w:ind w:firstLine="34"/>
              <w:contextualSpacing w:val="0"/>
              <w:jc w:val="both"/>
            </w:pPr>
            <w:r w:rsidDel="00000000" w:rsidR="00000000" w:rsidRPr="00000000">
              <w:rPr>
                <w:rFonts w:ascii="Arial" w:cs="Arial" w:eastAsia="Arial" w:hAnsi="Arial"/>
                <w:b w:val="1"/>
                <w:sz w:val="16"/>
                <w:szCs w:val="16"/>
                <w:rtl w:val="0"/>
              </w:rPr>
              <w:t xml:space="preserve">Auditoría Interna (Notificado a la Secretaria vía correo electrónico)</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Oficina de Comunicación y Mercadeo </w:t>
            </w:r>
          </w:p>
          <w:p w:rsidR="00000000" w:rsidDel="00000000" w:rsidP="00000000" w:rsidRDefault="00000000" w:rsidRPr="00000000">
            <w:pPr>
              <w:ind w:left="720" w:hanging="720"/>
              <w:contextualSpacing w:val="0"/>
              <w:jc w:val="both"/>
            </w:pPr>
            <w:r w:rsidDel="00000000" w:rsidR="00000000" w:rsidRPr="00000000">
              <w:rPr>
                <w:rFonts w:ascii="Arial" w:cs="Arial" w:eastAsia="Arial" w:hAnsi="Arial"/>
                <w:b w:val="1"/>
                <w:sz w:val="16"/>
                <w:szCs w:val="16"/>
                <w:rtl w:val="0"/>
              </w:rPr>
              <w:t xml:space="preserve">Centro de Archivo y Comunicaciones</w:t>
            </w:r>
          </w:p>
          <w:p w:rsidR="00000000" w:rsidDel="00000000" w:rsidP="00000000" w:rsidRDefault="00000000" w:rsidRPr="00000000">
            <w:pPr>
              <w:contextualSpacing w:val="0"/>
              <w:jc w:val="both"/>
            </w:pPr>
            <w:r w:rsidDel="00000000" w:rsidR="00000000" w:rsidRPr="00000000">
              <w:rPr>
                <w:rFonts w:ascii="Arial" w:cs="Arial" w:eastAsia="Arial" w:hAnsi="Arial"/>
                <w:b w:val="1"/>
                <w:sz w:val="16"/>
                <w:szCs w:val="16"/>
                <w:rtl w:val="0"/>
              </w:rPr>
              <w:t xml:space="preserve">FEITEC</w:t>
            </w:r>
          </w:p>
          <w:p w:rsidR="00000000" w:rsidDel="00000000" w:rsidP="00000000" w:rsidRDefault="00000000" w:rsidRPr="00000000">
            <w:pPr>
              <w:contextualSpacing w:val="0"/>
              <w:jc w:val="both"/>
            </w:pP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sectPr>
      <w:headerReference r:id="rId5" w:type="default"/>
      <w:footerReference r:id="rId6" w:type="default"/>
      <w:pgSz w:h="15842" w:w="12242"/>
      <w:pgMar w:bottom="1135" w:top="1418" w:left="1701" w:right="17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9"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0"/>
          <w:szCs w:val="20"/>
        </w:rPr>
      </w:r>
    </w:fldSimple>
    <w:r w:rsidDel="00000000" w:rsidR="00000000" w:rsidRPr="00000000">
      <w:rPr>
        <w:rtl w:val="0"/>
      </w:rPr>
    </w:r>
  </w:p>
  <w:p w:rsidR="00000000" w:rsidDel="00000000" w:rsidP="00000000" w:rsidRDefault="00000000" w:rsidRPr="00000000">
    <w:pPr>
      <w:tabs>
        <w:tab w:val="center" w:pos="4252"/>
        <w:tab w:val="right" w:pos="8504"/>
      </w:tabs>
      <w:spacing w:after="709" w:before="0" w:line="240" w:lineRule="auto"/>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Heading6"/>
      <w:spacing w:after="0" w:before="709" w:lineRule="auto"/>
      <w:contextualSpacing w:val="0"/>
      <w:jc w:val="right"/>
    </w:pPr>
    <w:r w:rsidDel="00000000" w:rsidR="00000000" w:rsidRPr="00000000">
      <w:rPr>
        <w:rFonts w:ascii="Arial" w:cs="Arial" w:eastAsia="Arial" w:hAnsi="Arial"/>
        <w:sz w:val="18"/>
        <w:szCs w:val="18"/>
        <w:rtl w:val="0"/>
      </w:rPr>
      <w:t xml:space="preserve">Instituto Tecnológico de Costa Rica</w:t>
    </w:r>
    <w:r w:rsidDel="00000000" w:rsidR="00000000" w:rsidRPr="00000000">
      <w:rPr>
        <w:rtl w:val="0"/>
      </w:rPr>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Secretaría Consejo Institucional</w:t>
    </w:r>
  </w:p>
  <w:p w:rsidR="00000000" w:rsidDel="00000000" w:rsidP="00000000" w:rsidRDefault="00000000" w:rsidRPr="00000000">
    <w:pPr>
      <w:tabs>
        <w:tab w:val="left" w:pos="5954"/>
      </w:tabs>
      <w:contextualSpacing w:val="0"/>
      <w:jc w:val="right"/>
    </w:pPr>
    <w:r w:rsidDel="00000000" w:rsidR="00000000" w:rsidRPr="00000000">
      <w:rPr>
        <w:rFonts w:ascii="Arial" w:cs="Arial" w:eastAsia="Arial" w:hAnsi="Arial"/>
        <w:b w:val="1"/>
        <w:i w:val="1"/>
        <w:sz w:val="18"/>
        <w:szCs w:val="18"/>
        <w:rtl w:val="0"/>
      </w:rPr>
      <w:t xml:space="preserve">Ext.  2716-2239</w:t>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ind w:right="-374"/>
      <w:contextualSpacing w:val="0"/>
      <w:jc w:val="center"/>
    </w:pPr>
    <w:r w:rsidDel="00000000" w:rsidR="00000000" w:rsidRPr="00000000">
      <w:drawing>
        <wp:inline distB="0" distT="0" distL="0" distR="0">
          <wp:extent cx="5384800" cy="152400"/>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5384800" cy="152400"/>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252"/>
        <w:tab w:val="right" w:pos="8504"/>
      </w:tabs>
      <w:spacing w:after="0" w:before="0"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b w:val="1"/>
        <w:i w:val="0"/>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bullet"/>
      <w:lvlText w:val="●"/>
      <w:lvlJc w:val="left"/>
      <w:pPr>
        <w:ind w:left="1208" w:firstLine="848"/>
      </w:pPr>
      <w:rPr>
        <w:rFonts w:ascii="Arial" w:cs="Arial" w:eastAsia="Arial" w:hAnsi="Arial"/>
      </w:rPr>
    </w:lvl>
    <w:lvl w:ilvl="1">
      <w:start w:val="1"/>
      <w:numFmt w:val="bullet"/>
      <w:lvlText w:val="o"/>
      <w:lvlJc w:val="left"/>
      <w:pPr>
        <w:ind w:left="1928" w:firstLine="1568"/>
      </w:pPr>
      <w:rPr>
        <w:rFonts w:ascii="Arial" w:cs="Arial" w:eastAsia="Arial" w:hAnsi="Arial"/>
      </w:rPr>
    </w:lvl>
    <w:lvl w:ilvl="2">
      <w:start w:val="1"/>
      <w:numFmt w:val="bullet"/>
      <w:lvlText w:val="▪"/>
      <w:lvlJc w:val="left"/>
      <w:pPr>
        <w:ind w:left="2648" w:firstLine="2288"/>
      </w:pPr>
      <w:rPr>
        <w:rFonts w:ascii="Arial" w:cs="Arial" w:eastAsia="Arial" w:hAnsi="Arial"/>
      </w:rPr>
    </w:lvl>
    <w:lvl w:ilvl="3">
      <w:start w:val="1"/>
      <w:numFmt w:val="bullet"/>
      <w:lvlText w:val="●"/>
      <w:lvlJc w:val="left"/>
      <w:pPr>
        <w:ind w:left="3368" w:firstLine="3008"/>
      </w:pPr>
      <w:rPr>
        <w:rFonts w:ascii="Arial" w:cs="Arial" w:eastAsia="Arial" w:hAnsi="Arial"/>
      </w:rPr>
    </w:lvl>
    <w:lvl w:ilvl="4">
      <w:start w:val="1"/>
      <w:numFmt w:val="bullet"/>
      <w:lvlText w:val="o"/>
      <w:lvlJc w:val="left"/>
      <w:pPr>
        <w:ind w:left="4088" w:firstLine="3728"/>
      </w:pPr>
      <w:rPr>
        <w:rFonts w:ascii="Arial" w:cs="Arial" w:eastAsia="Arial" w:hAnsi="Arial"/>
      </w:rPr>
    </w:lvl>
    <w:lvl w:ilvl="5">
      <w:start w:val="1"/>
      <w:numFmt w:val="bullet"/>
      <w:lvlText w:val="▪"/>
      <w:lvlJc w:val="left"/>
      <w:pPr>
        <w:ind w:left="4808" w:firstLine="4448"/>
      </w:pPr>
      <w:rPr>
        <w:rFonts w:ascii="Arial" w:cs="Arial" w:eastAsia="Arial" w:hAnsi="Arial"/>
      </w:rPr>
    </w:lvl>
    <w:lvl w:ilvl="6">
      <w:start w:val="1"/>
      <w:numFmt w:val="bullet"/>
      <w:lvlText w:val="●"/>
      <w:lvlJc w:val="left"/>
      <w:pPr>
        <w:ind w:left="5528" w:firstLine="5168"/>
      </w:pPr>
      <w:rPr>
        <w:rFonts w:ascii="Arial" w:cs="Arial" w:eastAsia="Arial" w:hAnsi="Arial"/>
      </w:rPr>
    </w:lvl>
    <w:lvl w:ilvl="7">
      <w:start w:val="1"/>
      <w:numFmt w:val="bullet"/>
      <w:lvlText w:val="o"/>
      <w:lvlJc w:val="left"/>
      <w:pPr>
        <w:ind w:left="6248" w:firstLine="5888"/>
      </w:pPr>
      <w:rPr>
        <w:rFonts w:ascii="Arial" w:cs="Arial" w:eastAsia="Arial" w:hAnsi="Arial"/>
      </w:rPr>
    </w:lvl>
    <w:lvl w:ilvl="8">
      <w:start w:val="1"/>
      <w:numFmt w:val="bullet"/>
      <w:lvlText w:val="▪"/>
      <w:lvlJc w:val="left"/>
      <w:pPr>
        <w:ind w:left="6968" w:firstLine="6608"/>
      </w:pPr>
      <w:rPr>
        <w:rFonts w:ascii="Arial" w:cs="Arial" w:eastAsia="Arial" w:hAnsi="Arial"/>
      </w:rPr>
    </w:lvl>
  </w:abstractNum>
  <w:abstractNum w:abstractNumId="3">
    <w:lvl w:ilvl="0">
      <w:start w:val="1"/>
      <w:numFmt w:val="lowerLetter"/>
      <w:lvlText w:val="%1."/>
      <w:lvlJc w:val="left"/>
      <w:pPr>
        <w:ind w:left="720" w:firstLine="360"/>
      </w:pPr>
      <w:rPr>
        <w:b w:val="1"/>
        <w:strike w:val="0"/>
        <w:sz w:val="24"/>
        <w:szCs w:val="24"/>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jc w:val="both"/>
    </w:pPr>
    <w:rPr>
      <w:rFonts w:ascii="Cambria" w:cs="Cambria" w:eastAsia="Cambria" w:hAnsi="Cambria"/>
      <w:b w:val="1"/>
      <w:sz w:val="32"/>
      <w:szCs w:val="32"/>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60" w:line="240" w:lineRule="auto"/>
      <w:jc w:val="both"/>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60" w:before="240" w:line="240" w:lineRule="auto"/>
    </w:pPr>
    <w:rPr>
      <w:rFonts w:ascii="Times New Roman" w:cs="Times New Roman" w:eastAsia="Times New Roman" w:hAnsi="Times New Roman"/>
      <w:b w:val="1"/>
      <w:i w:val="1"/>
      <w:sz w:val="22"/>
      <w:szCs w:val="2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