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SCI-206-2014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Milton Villarreal, Vicerrector Vicerrectoría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Dra. Hannia Rodríguez, Directora Departamento de Recursos Humanos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 de abril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spacing w:after="120" w:before="0" w:line="240" w:lineRule="auto"/>
              <w:ind w:left="34" w:hanging="34"/>
              <w:contextualSpacing w:val="0"/>
              <w:jc w:val="both"/>
            </w:pPr>
            <w:r w:rsidDel="00000000" w:rsidR="00000000" w:rsidRPr="00000000">
              <w:rPr>
                <w:rFonts w:ascii="Arial" w:cs="Arial" w:eastAsia="Arial" w:hAnsi="Arial"/>
                <w:b w:val="1"/>
                <w:sz w:val="22"/>
                <w:szCs w:val="22"/>
                <w:vertAlign w:val="baseline"/>
                <w:rtl w:val="0"/>
              </w:rPr>
              <w:t xml:space="preserve">Sesión Ordinaria No. 2863 Artículo 10, del 2 de abril de 2014.  </w:t>
            </w:r>
            <w:r w:rsidDel="00000000" w:rsidR="00000000" w:rsidRPr="00000000">
              <w:rPr>
                <w:rFonts w:ascii="Arial" w:cs="Arial" w:eastAsia="Arial" w:hAnsi="Arial"/>
                <w:b w:val="1"/>
                <w:sz w:val="24"/>
                <w:szCs w:val="24"/>
                <w:vertAlign w:val="baseline"/>
                <w:rtl w:val="0"/>
              </w:rPr>
              <w:t xml:space="preserve">Modificación de la plaza NT0174 adscrita a la Vicerrectoría de Investigación y Extensión, para disminuirla a un 20 %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Ordinaria No.  2575, Artículo 9, del 11 de setiembre del 2008, aprobó la Creación de plazas nuevas para el 2009”, con las siguientes características: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18" w:right="689" w:hanging="698"/>
        <w:contextualSpacing w:val="0"/>
        <w:jc w:val="both"/>
      </w:pPr>
      <w:r w:rsidDel="00000000" w:rsidR="00000000" w:rsidRPr="00000000">
        <w:rPr>
          <w:rFonts w:ascii="Arial" w:cs="Arial" w:eastAsia="Arial" w:hAnsi="Arial"/>
          <w:b w:val="0"/>
          <w:i w:val="1"/>
          <w:sz w:val="24"/>
          <w:szCs w:val="24"/>
          <w:vertAlign w:val="baseline"/>
          <w:rtl w:val="0"/>
        </w:rPr>
        <w:t xml:space="preserve">“38. Cuatro plazas de profesor (para laborar como </w:t>
      </w:r>
      <w:r w:rsidDel="00000000" w:rsidR="00000000" w:rsidRPr="00000000">
        <w:rPr>
          <w:rFonts w:ascii="Arial" w:cs="Arial" w:eastAsia="Arial" w:hAnsi="Arial"/>
          <w:b w:val="1"/>
          <w:i w:val="1"/>
          <w:sz w:val="24"/>
          <w:szCs w:val="24"/>
          <w:vertAlign w:val="baseline"/>
          <w:rtl w:val="0"/>
        </w:rPr>
        <w:t xml:space="preserve">Investigador consolidado,</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1"/>
          <w:i w:val="1"/>
          <w:sz w:val="24"/>
          <w:szCs w:val="24"/>
          <w:vertAlign w:val="baseline"/>
          <w:rtl w:val="0"/>
        </w:rPr>
        <w:t xml:space="preserve">tipo 3</w:t>
      </w:r>
      <w:r w:rsidDel="00000000" w:rsidR="00000000" w:rsidRPr="00000000">
        <w:rPr>
          <w:rFonts w:ascii="Arial" w:cs="Arial" w:eastAsia="Arial" w:hAnsi="Arial"/>
          <w:b w:val="0"/>
          <w:i w:val="1"/>
          <w:sz w:val="24"/>
          <w:szCs w:val="24"/>
          <w:vertAlign w:val="baseline"/>
          <w:rtl w:val="0"/>
        </w:rPr>
        <w:t xml:space="preserve">, según el III Congreso), categoría </w:t>
      </w:r>
      <w:r w:rsidDel="00000000" w:rsidR="00000000" w:rsidRPr="00000000">
        <w:rPr>
          <w:rFonts w:ascii="Arial" w:cs="Arial" w:eastAsia="Arial" w:hAnsi="Arial"/>
          <w:b w:val="1"/>
          <w:i w:val="1"/>
          <w:sz w:val="24"/>
          <w:szCs w:val="24"/>
          <w:vertAlign w:val="baseline"/>
          <w:rtl w:val="0"/>
        </w:rPr>
        <w:t xml:space="preserve">23</w:t>
      </w:r>
      <w:r w:rsidDel="00000000" w:rsidR="00000000" w:rsidRPr="00000000">
        <w:rPr>
          <w:rFonts w:ascii="Arial" w:cs="Arial" w:eastAsia="Arial" w:hAnsi="Arial"/>
          <w:b w:val="0"/>
          <w:i w:val="1"/>
          <w:sz w:val="24"/>
          <w:szCs w:val="24"/>
          <w:vertAlign w:val="baseline"/>
          <w:rtl w:val="0"/>
        </w:rPr>
        <w:t xml:space="preserve">, de 12 meses, permanente, jornada 100%, equivalentes a cuatro tiempos completos, adscritas a la Dirección de Proyectos.”</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Ordinaria No.  2847, Artículo 11, del 13 de noviembre de 2013, aprobó la “Recodificación de plazas con Nomenclatura CF a NT” y dentro de estas, aprobó la siguiente:</w:t>
      </w:r>
    </w:p>
    <w:p w:rsidR="00000000" w:rsidDel="00000000" w:rsidP="00000000" w:rsidRDefault="00000000" w:rsidRPr="00000000">
      <w:pPr>
        <w:ind w:left="1320" w:hanging="1320"/>
        <w:contextualSpacing w:val="0"/>
        <w:jc w:val="both"/>
      </w:pPr>
      <w:r w:rsidDel="00000000" w:rsidR="00000000" w:rsidRPr="00000000">
        <w:rPr>
          <w:rtl w:val="0"/>
        </w:rPr>
      </w:r>
    </w:p>
    <w:tbl>
      <w:tblPr>
        <w:tblStyle w:val="Table2"/>
        <w:bidi w:val="0"/>
        <w:tblW w:w="10023.999999999998" w:type="dxa"/>
        <w:jc w:val="left"/>
        <w:tblInd w:w="-70.0" w:type="dxa"/>
        <w:tblLayout w:type="fixed"/>
        <w:tblLook w:val="0000"/>
      </w:tblPr>
      <w:tblGrid>
        <w:gridCol w:w="938"/>
        <w:gridCol w:w="1115"/>
        <w:gridCol w:w="890"/>
        <w:gridCol w:w="1478"/>
        <w:gridCol w:w="1279"/>
        <w:gridCol w:w="589"/>
        <w:gridCol w:w="1083"/>
        <w:gridCol w:w="884"/>
        <w:gridCol w:w="1768"/>
        <w:tblGridChange w:id="0">
          <w:tblGrid>
            <w:gridCol w:w="938"/>
            <w:gridCol w:w="1115"/>
            <w:gridCol w:w="890"/>
            <w:gridCol w:w="1478"/>
            <w:gridCol w:w="1279"/>
            <w:gridCol w:w="589"/>
            <w:gridCol w:w="1083"/>
            <w:gridCol w:w="884"/>
            <w:gridCol w:w="1768"/>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92cddc"/>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vertAlign w:val="baseline"/>
                <w:rtl w:val="0"/>
              </w:rPr>
              <w:t xml:space="preserve">Código Actual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92cddc"/>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vertAlign w:val="baseline"/>
                <w:rtl w:val="0"/>
              </w:rPr>
              <w:t xml:space="preserve">Nuevo Código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92cddc"/>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92cddc"/>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vertAlign w:val="baseline"/>
                <w:rtl w:val="0"/>
              </w:rPr>
              <w:t xml:space="preserve">Adscritas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92cddc"/>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vertAlign w:val="baseline"/>
                <w:rtl w:val="0"/>
              </w:rPr>
              <w:t xml:space="preserve">Nombre del 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92cddc"/>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vertAlign w:val="baseline"/>
                <w:rtl w:val="0"/>
              </w:rPr>
              <w:t xml:space="preserve">Cat.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92cddc"/>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92cddc"/>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vertAlign w:val="baseline"/>
                <w:rtl w:val="0"/>
              </w:rPr>
              <w:t xml:space="preserve">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92cddc"/>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vertAlign w:val="baseline"/>
                <w:rtl w:val="0"/>
              </w:rPr>
              <w:t xml:space="preserve">Observaciones</w:t>
            </w:r>
            <w:r w:rsidDel="00000000" w:rsidR="00000000" w:rsidRPr="00000000">
              <w:rPr>
                <w:rtl w:val="0"/>
              </w:rPr>
            </w:r>
          </w:p>
        </w:tc>
      </w:tr>
      <w:tr>
        <w:trPr>
          <w:trHeight w:val="114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CF2546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NT0174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Dirección de Proyectos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23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Plaza para nombramientos de proyectos de invest. Y extensión.</w:t>
            </w:r>
            <w:r w:rsidDel="00000000" w:rsidR="00000000" w:rsidRPr="00000000">
              <w:rPr>
                <w:rtl w:val="0"/>
              </w:rPr>
            </w:r>
          </w:p>
        </w:tc>
      </w:tr>
    </w:tbl>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Ordinaria No.  2859, Artículo 9, del 05 de marzo de 2014, aprobó la “Modificación de la plaza NT0174 adscrita a la Vicerrectoría de Investigación y Extensión, para disminuirla en un 50 % y aumentar la plaza CF2065 a un 100 %”, con las siguientes características:</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vertAlign w:val="baseline"/>
          <w:rtl w:val="0"/>
        </w:rPr>
        <w:t xml:space="preserve">“a.  …</w:t>
      </w:r>
      <w:r w:rsidDel="00000000" w:rsidR="00000000" w:rsidRPr="00000000">
        <w:rPr>
          <w:rtl w:val="0"/>
        </w:rPr>
      </w:r>
    </w:p>
    <w:p w:rsidR="00000000" w:rsidDel="00000000" w:rsidP="00000000" w:rsidRDefault="00000000" w:rsidRPr="00000000">
      <w:pPr>
        <w:ind w:left="1080" w:right="689" w:hanging="270"/>
        <w:contextualSpacing w:val="0"/>
        <w:jc w:val="both"/>
      </w:pPr>
      <w:r w:rsidDel="00000000" w:rsidR="00000000" w:rsidRPr="00000000">
        <w:rPr>
          <w:rFonts w:ascii="Arial" w:cs="Arial" w:eastAsia="Arial" w:hAnsi="Arial"/>
          <w:vertAlign w:val="baseline"/>
          <w:rtl w:val="0"/>
        </w:rPr>
        <w:t xml:space="preserve">b. Disminuir la plaza NT0174 en un 50% del 5 de marzo al 31 de diciembre de 2014, con las siguientes características:</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tbl>
      <w:tblPr>
        <w:tblStyle w:val="Table3"/>
        <w:bidi w:val="0"/>
        <w:tblW w:w="8550.0" w:type="dxa"/>
        <w:jc w:val="left"/>
        <w:tblInd w:w="360.0" w:type="dxa"/>
        <w:tblLayout w:type="fixed"/>
        <w:tblLook w:val="0000"/>
      </w:tblPr>
      <w:tblGrid>
        <w:gridCol w:w="1260"/>
        <w:gridCol w:w="990"/>
        <w:gridCol w:w="990"/>
        <w:gridCol w:w="810"/>
        <w:gridCol w:w="1350"/>
        <w:gridCol w:w="990"/>
        <w:gridCol w:w="2160"/>
        <w:tblGridChange w:id="0">
          <w:tblGrid>
            <w:gridCol w:w="1260"/>
            <w:gridCol w:w="990"/>
            <w:gridCol w:w="990"/>
            <w:gridCol w:w="810"/>
            <w:gridCol w:w="1350"/>
            <w:gridCol w:w="990"/>
            <w:gridCol w:w="2160"/>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color w:val="000000"/>
                <w:sz w:val="18"/>
                <w:szCs w:val="18"/>
                <w:vertAlign w:val="baseline"/>
                <w:rtl w:val="0"/>
              </w:rPr>
              <w:t xml:space="preserve">Número de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color w:val="000000"/>
                <w:sz w:val="18"/>
                <w:szCs w:val="18"/>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color w:val="000000"/>
                <w:sz w:val="18"/>
                <w:szCs w:val="18"/>
                <w:vertAlign w:val="baseline"/>
                <w:rtl w:val="0"/>
              </w:rPr>
              <w:t xml:space="preserve">Jornada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color w:val="000000"/>
                <w:sz w:val="18"/>
                <w:szCs w:val="18"/>
                <w:vertAlign w:val="baseline"/>
                <w:rtl w:val="0"/>
              </w:rPr>
              <w:t xml:space="preserve">Equivalencia de Tiempo Completo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color w:val="000000"/>
                <w:sz w:val="18"/>
                <w:szCs w:val="18"/>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8cce4"/>
          </w:tcPr>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color w:val="000000"/>
                <w:sz w:val="18"/>
                <w:szCs w:val="18"/>
                <w:vertAlign w:val="baseline"/>
                <w:rtl w:val="0"/>
              </w:rPr>
              <w:t xml:space="preserve">Para ser utilizada en:</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18"/>
                <w:szCs w:val="18"/>
                <w:vertAlign w:val="baseline"/>
                <w:rtl w:val="0"/>
              </w:rPr>
              <w:t xml:space="preserve">NT0174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18"/>
                <w:szCs w:val="18"/>
                <w:vertAlign w:val="baseline"/>
                <w:rtl w:val="0"/>
              </w:rPr>
              <w:t xml:space="preserve">0.5 TCE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sz w:val="16"/>
                <w:szCs w:val="16"/>
                <w:vertAlign w:val="baseline"/>
                <w:rtl w:val="0"/>
              </w:rPr>
              <w:t xml:space="preserve">VIE/ Dirección de proyectos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vertAlign w:val="baseline"/>
                <w:rtl w:val="0"/>
              </w:rPr>
              <w:t xml:space="preserve">Para nombramientos de proyectos de investigación y extensión.”</w:t>
            </w:r>
            <w:r w:rsidDel="00000000" w:rsidR="00000000" w:rsidRPr="00000000">
              <w:rPr>
                <w:rtl w:val="0"/>
              </w:rPr>
            </w:r>
          </w:p>
        </w:tc>
      </w:tr>
    </w:tbl>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el oficio OPI-0173-2014, con fecha de recibido 07 de marzo de 2014, suscrito por la MAU.  Tatiana Fernández Martín, Directora de la Oficina de Planificación Institucional, dirigido al Ing.  Alexander Valerín Castro, Coordinador de la Comisión de Planificación y Administración, en el cual remite dictamen sobre la modificación de la plaza NT0174, adscrita a la Vicerrectoría de Investigación y Extensión, para disminuirla a un 20%.  (Ver 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570-2014, del 20 de marzo de 2014, conoció en el punto de correspondencia, el oficio OPI-0173-2014 y dispuso elevar la siguiente propuesta al pleno.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0"/>
          <w:sz w:val="24"/>
          <w:szCs w:val="24"/>
          <w:vertAlign w:val="baseline"/>
          <w:rtl w:val="0"/>
        </w:rPr>
        <w:t xml:space="preserve">La Secretaría del Consejo Institucional recibió el oficio OPI-0201-2014, con fecha de recibido 21 de marzo de 2014, suscrito por la MAU.  Tatiana Fernández Martín, Directora de la Oficina de Planificación Institucional, dirigido al Ing.  Alexander Valerín Castro, Coordinador de la Comisión de Planificación y Administración, en sustitución del oficio OPI-0173-2014, en el que se corrigen las características de la plaza NT0174.  (Ver Anexo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571-2014, del 27 de marzo de 2014, invita al señor Edgar Ortiz, para evacuar las dudas surgidas sobre la ocupación de la plaza y se dispone elevar la siguiente propuesta al pleno.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SE ACUERDA: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Modificar el uso de la plaza NT0174, adscrita a la Vicerrectoría de Investigación y Extensión, aprobada en la Sesión Ordinaria No.  2859, Artículo 9, del 05 de marzo de 2014, a partir del 02 de abril de 2014 y hasta el 31 de diciembre de 2014, con las siguientes características:</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tbl>
      <w:tblPr>
        <w:tblStyle w:val="Table4"/>
        <w:bidi w:val="0"/>
        <w:tblW w:w="9922.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1689"/>
        <w:gridCol w:w="929"/>
        <w:gridCol w:w="1089"/>
        <w:gridCol w:w="1246"/>
        <w:gridCol w:w="1399"/>
        <w:gridCol w:w="2578"/>
        <w:tblGridChange w:id="0">
          <w:tblGrid>
            <w:gridCol w:w="992"/>
            <w:gridCol w:w="1689"/>
            <w:gridCol w:w="929"/>
            <w:gridCol w:w="1089"/>
            <w:gridCol w:w="1246"/>
            <w:gridCol w:w="1399"/>
            <w:gridCol w:w="2578"/>
          </w:tblGrid>
        </w:tblGridChange>
      </w:tblGrid>
      <w:tr>
        <w:trPr>
          <w:trHeight w:val="520" w:hRule="atLeast"/>
        </w:trPr>
        <w:tc>
          <w:tcPr>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Número de plaza</w:t>
            </w:r>
            <w:r w:rsidDel="00000000" w:rsidR="00000000" w:rsidRPr="00000000">
              <w:rPr>
                <w:rtl w:val="0"/>
              </w:rPr>
            </w:r>
          </w:p>
        </w:tc>
        <w:tc>
          <w:tcPr>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Puesto</w:t>
            </w:r>
            <w:r w:rsidDel="00000000" w:rsidR="00000000" w:rsidRPr="00000000">
              <w:rPr>
                <w:rtl w:val="0"/>
              </w:rPr>
            </w:r>
          </w:p>
        </w:tc>
        <w:tc>
          <w:tcPr>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Categoría</w:t>
            </w:r>
            <w:r w:rsidDel="00000000" w:rsidR="00000000" w:rsidRPr="00000000">
              <w:rPr>
                <w:rtl w:val="0"/>
              </w:rPr>
            </w:r>
          </w:p>
        </w:tc>
        <w:tc>
          <w:tcPr>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Jornada %</w:t>
            </w:r>
            <w:r w:rsidDel="00000000" w:rsidR="00000000" w:rsidRPr="00000000">
              <w:rPr>
                <w:rtl w:val="0"/>
              </w:rPr>
            </w:r>
          </w:p>
        </w:tc>
        <w:tc>
          <w:tcPr>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Equivalencia Tiempo Completo</w:t>
            </w:r>
            <w:r w:rsidDel="00000000" w:rsidR="00000000" w:rsidRPr="00000000">
              <w:rPr>
                <w:rtl w:val="0"/>
              </w:rPr>
            </w:r>
          </w:p>
        </w:tc>
        <w:tc>
          <w:tcPr>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Adscrita a:</w:t>
            </w:r>
            <w:r w:rsidDel="00000000" w:rsidR="00000000" w:rsidRPr="00000000">
              <w:rPr>
                <w:rtl w:val="0"/>
              </w:rPr>
            </w:r>
          </w:p>
        </w:tc>
        <w:tc>
          <w:tcPr>
            <w:shd w:fill="bdd6ee"/>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Para ser utilizada en:</w:t>
            </w:r>
            <w:r w:rsidDel="00000000" w:rsidR="00000000" w:rsidRPr="00000000">
              <w:rPr>
                <w:rtl w:val="0"/>
              </w:rPr>
            </w:r>
          </w:p>
        </w:tc>
      </w:tr>
      <w:tr>
        <w:trPr>
          <w:trHeight w:val="50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NT0174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Profesional en Gestión de Proyectos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0,20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VIE/ Dirección de proyectos</w:t>
              <w:br w:type="textWrapp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La  gestión de la información de las publicaciones que realizan los Investigadores(as).</w:t>
            </w:r>
            <w:r w:rsidDel="00000000" w:rsidR="00000000" w:rsidRPr="00000000">
              <w:rPr>
                <w:rtl w:val="0"/>
              </w:rPr>
            </w:r>
          </w:p>
        </w:tc>
      </w:tr>
      <w:tr>
        <w:trPr>
          <w:trHeight w:val="50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NT0174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Profesor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0,30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VIE/ Dirección de proyectos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Para investigadores</w:t>
            </w:r>
            <w:r w:rsidDel="00000000" w:rsidR="00000000" w:rsidRPr="00000000">
              <w:rPr>
                <w:rtl w:val="0"/>
              </w:rPr>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16"/>
          <w:szCs w:val="16"/>
          <w:vertAlign w:val="baseline"/>
          <w:rtl w:val="0"/>
        </w:rPr>
        <w:t xml:space="preserve">Modificación – Uso Plaza – NT0174 – Gestión Proyectos – Profesor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5"/>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0"/>
          <w:sz w:val="24"/>
          <w:szCs w:val="24"/>
          <w:vertAlign w:val="baseline"/>
          <w:rtl w:val="0"/>
        </w:rPr>
        <w:t xml:space="preserve">ANEXO 1</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7f7f7f"/>
          <w:vertAlign w:val="baseline"/>
          <w:rtl w:val="0"/>
        </w:rPr>
        <w:t xml:space="preserve">OPI-0173-2014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7f7f7f"/>
          <w:sz w:val="44"/>
          <w:szCs w:val="44"/>
          <w:vertAlign w:val="baseline"/>
          <w:rtl w:val="0"/>
        </w:rPr>
        <w:t xml:space="preserve">Memorando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Para:</w:t>
        <w:tab/>
        <w:tab/>
      </w:r>
      <w:r w:rsidDel="00000000" w:rsidR="00000000" w:rsidRPr="00000000">
        <w:rPr>
          <w:rFonts w:ascii="Arial" w:cs="Arial" w:eastAsia="Arial" w:hAnsi="Arial"/>
          <w:b w:val="1"/>
          <w:vertAlign w:val="baseline"/>
          <w:rtl w:val="0"/>
        </w:rPr>
        <w:t xml:space="preserve">Ing. Alexander Valerín Castro, Coordinador</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b w:val="1"/>
          <w:vertAlign w:val="baseline"/>
          <w:rtl w:val="0"/>
        </w:rPr>
        <w:t xml:space="preserve">Comisión de Planificación y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De:</w:t>
        <w:tab/>
        <w:tab/>
      </w:r>
      <w:r w:rsidDel="00000000" w:rsidR="00000000" w:rsidRPr="00000000">
        <w:rPr>
          <w:rFonts w:ascii="Arial" w:cs="Arial" w:eastAsia="Arial" w:hAnsi="Arial"/>
          <w:b w:val="1"/>
          <w:vertAlign w:val="baseline"/>
          <w:rtl w:val="0"/>
        </w:rPr>
        <w:t xml:space="preserve">MAU. Tatiana Fernández Martín, Directora</w:t>
      </w:r>
      <w:r w:rsidDel="00000000" w:rsidR="00000000" w:rsidRPr="00000000">
        <w:rPr>
          <w:rtl w:val="0"/>
        </w:rPr>
      </w:r>
    </w:p>
    <w:p w:rsidR="00000000" w:rsidDel="00000000" w:rsidP="00000000" w:rsidRDefault="00000000" w:rsidRPr="00000000">
      <w:pPr>
        <w:ind w:left="708" w:firstLine="708"/>
        <w:contextualSpacing w:val="0"/>
      </w:pPr>
      <w:r w:rsidDel="00000000" w:rsidR="00000000" w:rsidRPr="00000000">
        <w:rPr>
          <w:rFonts w:ascii="Arial" w:cs="Arial" w:eastAsia="Arial" w:hAnsi="Arial"/>
          <w:b w:val="1"/>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 w:val="left" w:pos="8160"/>
        </w:tabs>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 w:val="left" w:pos="8160"/>
        </w:tabs>
        <w:contextualSpacing w:val="0"/>
      </w:pPr>
      <w:r w:rsidDel="00000000" w:rsidR="00000000" w:rsidRPr="00000000">
        <w:rPr>
          <w:rFonts w:ascii="Arial" w:cs="Arial" w:eastAsia="Arial" w:hAnsi="Arial"/>
          <w:vertAlign w:val="baseline"/>
          <w:rtl w:val="0"/>
        </w:rPr>
        <w:t xml:space="preserve">Fecha:</w:t>
        <w:tab/>
      </w:r>
      <w:r w:rsidDel="00000000" w:rsidR="00000000" w:rsidRPr="00000000">
        <w:rPr>
          <w:rFonts w:ascii="Arial" w:cs="Arial" w:eastAsia="Arial" w:hAnsi="Arial"/>
          <w:b w:val="1"/>
          <w:vertAlign w:val="baseline"/>
          <w:rtl w:val="0"/>
        </w:rPr>
        <w:t xml:space="preserve">07 de marzo del 2014</w:t>
      </w:r>
      <w:r w:rsidDel="00000000" w:rsidR="00000000" w:rsidRPr="00000000">
        <w:rPr>
          <w:rtl w:val="0"/>
        </w:rPr>
      </w:r>
    </w:p>
    <w:p w:rsidR="00000000" w:rsidDel="00000000" w:rsidP="00000000" w:rsidRDefault="00000000" w:rsidRPr="00000000">
      <w:pPr>
        <w:tabs>
          <w:tab w:val="left" w:pos="720"/>
          <w:tab w:val="left" w:pos="1440"/>
          <w:tab w:val="left" w:pos="2160"/>
          <w:tab w:val="left" w:pos="8160"/>
        </w:tabs>
        <w:contextualSpacing w:val="0"/>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Arial" w:cs="Arial" w:eastAsia="Arial" w:hAnsi="Arial"/>
          <w:vertAlign w:val="baseline"/>
          <w:rtl w:val="0"/>
        </w:rPr>
        <w:t xml:space="preserve">Asunto:</w:t>
        <w:tab/>
      </w:r>
      <w:r w:rsidDel="00000000" w:rsidR="00000000" w:rsidRPr="00000000">
        <w:rPr>
          <w:rFonts w:ascii="Arial" w:cs="Arial" w:eastAsia="Arial" w:hAnsi="Arial"/>
          <w:b w:val="1"/>
          <w:vertAlign w:val="baseline"/>
          <w:rtl w:val="0"/>
        </w:rPr>
        <w:t xml:space="preserve">Dictamen sobre la modificación de la plaza NT0174  por un 20%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tabs>
          <w:tab w:val="left" w:pos="2127"/>
          <w:tab w:val="left" w:pos="8640"/>
        </w:tabs>
        <w:spacing w:line="360" w:lineRule="auto"/>
        <w:ind w:right="-136"/>
        <w:contextualSpacing w:val="0"/>
        <w:jc w:val="both"/>
      </w:pPr>
      <w:r w:rsidDel="00000000" w:rsidR="00000000" w:rsidRPr="00000000">
        <w:rPr>
          <w:rtl w:val="0"/>
        </w:rPr>
      </w:r>
    </w:p>
    <w:p w:rsidR="00000000" w:rsidDel="00000000" w:rsidP="00000000" w:rsidRDefault="00000000" w:rsidRPr="00000000">
      <w:pPr>
        <w:tabs>
          <w:tab w:val="left" w:pos="2127"/>
          <w:tab w:val="left" w:pos="8640"/>
        </w:tabs>
        <w:spacing w:line="360" w:lineRule="auto"/>
        <w:ind w:right="-136"/>
        <w:contextualSpacing w:val="0"/>
        <w:jc w:val="both"/>
      </w:pPr>
      <w:r w:rsidDel="00000000" w:rsidR="00000000" w:rsidRPr="00000000">
        <w:rPr>
          <w:rFonts w:ascii="Arial" w:cs="Arial" w:eastAsia="Arial" w:hAnsi="Arial"/>
          <w:vertAlign w:val="baseline"/>
          <w:rtl w:val="0"/>
        </w:rPr>
        <w:t xml:space="preserve">En atención al oficio R-0142-2014 del 05 de marzo del presente año, donde se presenta la solicitud de modificación de la plaza  NT0174. </w:t>
      </w:r>
      <w:r w:rsidDel="00000000" w:rsidR="00000000" w:rsidRPr="00000000">
        <w:rPr>
          <w:rtl w:val="0"/>
        </w:rPr>
      </w:r>
    </w:p>
    <w:p w:rsidR="00000000" w:rsidDel="00000000" w:rsidP="00000000" w:rsidRDefault="00000000" w:rsidRPr="00000000">
      <w:pPr>
        <w:tabs>
          <w:tab w:val="left" w:pos="2127"/>
          <w:tab w:val="left" w:pos="8640"/>
        </w:tabs>
        <w:spacing w:line="360" w:lineRule="auto"/>
        <w:ind w:right="-136"/>
        <w:contextualSpacing w:val="0"/>
        <w:jc w:val="both"/>
      </w:pPr>
      <w:r w:rsidDel="00000000" w:rsidR="00000000" w:rsidRPr="00000000">
        <w:rPr>
          <w:rFonts w:ascii="Arial" w:cs="Arial" w:eastAsia="Arial" w:hAnsi="Arial"/>
          <w:vertAlign w:val="baseline"/>
          <w:rtl w:val="0"/>
        </w:rPr>
        <w:t xml:space="preserve">La misma fue aprobada por el Consejo Institucional, con las siguientes características:</w:t>
      </w:r>
      <w:r w:rsidDel="00000000" w:rsidR="00000000" w:rsidRPr="00000000">
        <w:rPr>
          <w:rtl w:val="0"/>
        </w:rPr>
      </w:r>
    </w:p>
    <w:tbl>
      <w:tblPr>
        <w:tblStyle w:val="Table6"/>
        <w:bidi w:val="0"/>
        <w:tblW w:w="9405.0" w:type="dxa"/>
        <w:jc w:val="center"/>
        <w:tblInd w:w="-70.0" w:type="dxa"/>
        <w:tblLayout w:type="fixed"/>
        <w:tblLook w:val="0000"/>
      </w:tblPr>
      <w:tblGrid>
        <w:gridCol w:w="1565"/>
        <w:gridCol w:w="1701"/>
        <w:gridCol w:w="1134"/>
        <w:gridCol w:w="992"/>
        <w:gridCol w:w="1555"/>
        <w:gridCol w:w="2458"/>
        <w:tblGridChange w:id="0">
          <w:tblGrid>
            <w:gridCol w:w="1565"/>
            <w:gridCol w:w="1701"/>
            <w:gridCol w:w="1134"/>
            <w:gridCol w:w="992"/>
            <w:gridCol w:w="1555"/>
            <w:gridCol w:w="2458"/>
          </w:tblGrid>
        </w:tblGridChange>
      </w:tblGrid>
      <w:tr>
        <w:trPr>
          <w:trHeight w:val="540" w:hRule="atLeast"/>
        </w:trPr>
        <w:tc>
          <w:tcPr>
            <w:tcBorders>
              <w:top w:color="000000" w:space="0" w:sz="4" w:val="single"/>
              <w:left w:color="000000" w:space="0" w:sz="4" w:val="single"/>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Número de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Equivalencia Tiempo Completo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Adscrita a:</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NT0174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VIE/ Dirección de proyectos</w:t>
            </w:r>
            <w:r w:rsidDel="00000000" w:rsidR="00000000" w:rsidRPr="00000000">
              <w:rPr>
                <w:rtl w:val="0"/>
              </w:rPr>
            </w:r>
          </w:p>
        </w:tc>
      </w:tr>
    </w:tbl>
    <w:p w:rsidR="00000000" w:rsidDel="00000000" w:rsidP="00000000" w:rsidRDefault="00000000" w:rsidRPr="00000000">
      <w:pPr>
        <w:tabs>
          <w:tab w:val="left" w:pos="2127"/>
          <w:tab w:val="left" w:pos="8640"/>
        </w:tabs>
        <w:ind w:right="-136"/>
        <w:contextualSpacing w:val="0"/>
        <w:jc w:val="center"/>
      </w:pP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Se solicita que el 20% de dicha plaza se modifique  del 01 de marzo al 31 de diciembre, 2014 con las siguientes características:</w:t>
      </w:r>
      <w:r w:rsidDel="00000000" w:rsidR="00000000" w:rsidRPr="00000000">
        <w:rPr>
          <w:rtl w:val="0"/>
        </w:rPr>
      </w:r>
    </w:p>
    <w:tbl>
      <w:tblPr>
        <w:tblStyle w:val="Table7"/>
        <w:bidi w:val="0"/>
        <w:tblW w:w="10800.0" w:type="dxa"/>
        <w:jc w:val="left"/>
        <w:tblInd w:w="-284.0" w:type="dxa"/>
        <w:tblLayout w:type="fixed"/>
        <w:tblLook w:val="0000"/>
      </w:tblPr>
      <w:tblGrid>
        <w:gridCol w:w="933"/>
        <w:gridCol w:w="2156"/>
        <w:gridCol w:w="924"/>
        <w:gridCol w:w="1082"/>
        <w:gridCol w:w="1238"/>
        <w:gridCol w:w="1391"/>
        <w:gridCol w:w="3076"/>
        <w:tblGridChange w:id="0">
          <w:tblGrid>
            <w:gridCol w:w="933"/>
            <w:gridCol w:w="2156"/>
            <w:gridCol w:w="924"/>
            <w:gridCol w:w="1082"/>
            <w:gridCol w:w="1238"/>
            <w:gridCol w:w="1391"/>
            <w:gridCol w:w="3076"/>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Número de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Jornada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Equivalencia Tiempo Completo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Para ser utilizada en:</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NT0174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Profesional en Gestión de Proyectos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VIE/ Dirección de proyectos</w:t>
              <w:br w:type="textWrapping"/>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gestión de la información de las publicaciones que realizan los Investigadores(as).</w:t>
            </w:r>
            <w:r w:rsidDel="00000000" w:rsidR="00000000" w:rsidRPr="00000000">
              <w:rPr>
                <w:rtl w:val="0"/>
              </w:rPr>
            </w:r>
          </w:p>
        </w:tc>
      </w:tr>
    </w:tbl>
    <w:p w:rsidR="00000000" w:rsidDel="00000000" w:rsidP="00000000" w:rsidRDefault="00000000" w:rsidRPr="00000000">
      <w:pPr>
        <w:spacing w:line="317" w:lineRule="auto"/>
        <w:contextualSpacing w:val="0"/>
        <w:jc w:val="both"/>
      </w:pP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Lo anterior se justifica en el oficio VIE-066-14, donde indica: “…se requiere apoyo en la gestión de la información de las publicaciones que realizan los Investigadores(as) del Tecnológico de Costa Rica, lo que implica entre otros aspectos, el levantamiento de las bases de datos de las publicaciones en índices internacionales y su mantenimiento.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anterior, se solicita la autorización y resolución de Rectoría para cambiar el nombre del puesto de Profesor a Profesional en Gestión de Proyectos, de la Plaza CF 2546, jornada 20%, del 1° de marzo al 31 de diciembre,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plaza mencionada, se vincula con: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Objetivos Estratégicos</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5. Mejorar la generación  y transferencia de conocimiento científico, tecnológico y técnico innovador, de calidad  y pertinencia,  promoviendo enfoques interdisciplinarios, multidisciplinarios  o transdisciplinarios. La misma se vincula directamente con el Plan Anual Operativo  2014:</w:t>
      </w:r>
      <w:r w:rsidDel="00000000" w:rsidR="00000000" w:rsidRPr="00000000">
        <w:rPr>
          <w:rtl w:val="0"/>
        </w:rPr>
      </w:r>
    </w:p>
    <w:tbl>
      <w:tblPr>
        <w:tblStyle w:val="Table8"/>
        <w:bidi w:val="0"/>
        <w:tblW w:w="10278.0" w:type="dxa"/>
        <w:jc w:val="center"/>
        <w:tblInd w:w="-70.0" w:type="dxa"/>
        <w:tblLayout w:type="fixed"/>
        <w:tblLook w:val="0000"/>
      </w:tblPr>
      <w:tblGrid>
        <w:gridCol w:w="30"/>
        <w:gridCol w:w="3232"/>
        <w:gridCol w:w="2315"/>
        <w:gridCol w:w="2160"/>
        <w:gridCol w:w="1388"/>
        <w:gridCol w:w="1153"/>
        <w:tblGridChange w:id="0">
          <w:tblGrid>
            <w:gridCol w:w="30"/>
            <w:gridCol w:w="3232"/>
            <w:gridCol w:w="2315"/>
            <w:gridCol w:w="2160"/>
            <w:gridCol w:w="1388"/>
            <w:gridCol w:w="1153"/>
          </w:tblGrid>
        </w:tblGridChange>
      </w:tblGrid>
      <w:tr>
        <w:trPr>
          <w:trHeight w:val="420" w:hRule="atLeast"/>
        </w:trPr>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Objetivo Estratégico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Acciones Estratégicas            </w:t>
              <w:br w:type="textWrapping"/>
              <w:t xml:space="preserve"> Objetivo Operativo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Meta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Indicador</w:t>
            </w: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Política Específica</w:t>
            </w:r>
            <w:r w:rsidDel="00000000" w:rsidR="00000000" w:rsidRPr="00000000">
              <w:rPr>
                <w:rtl w:val="0"/>
              </w:rPr>
            </w:r>
          </w:p>
        </w:tc>
      </w:tr>
      <w:tr>
        <w:trPr>
          <w:trHeight w:val="1860" w:hRule="atLeast"/>
        </w:trPr>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 Mejorar la generación  y transferencia de conocimiento científico, tecnológico y técnico innovador, de calidad  y pertinencia,  promoviendo enfoques interdisciplinarios, multidisciplinarios  o transdisciplinarios.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5.1 Difundir los resultados de los proyectos  de investigación y extensión a nivel nacional e internacional.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5.4.5: Desarrollar 10 iniciativas de divulgación del conocimiento científico y tecnológico generado por el TEC.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5.4.5.1 Cantidad de iniciativas de divulgación desarrolladas.</w:t>
            </w: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2.1.3</w:t>
              <w:br w:type="textWrapping"/>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Fuente: Oficina de Planificación Institucional. PAO 2014</w:t>
      </w:r>
      <w:r w:rsidDel="00000000" w:rsidR="00000000" w:rsidRPr="00000000">
        <w:rPr>
          <w:rtl w:val="0"/>
        </w:rPr>
      </w:r>
    </w:p>
    <w:p w:rsidR="00000000" w:rsidDel="00000000" w:rsidP="00000000" w:rsidRDefault="00000000" w:rsidRPr="00000000">
      <w:pPr>
        <w:tabs>
          <w:tab w:val="left" w:pos="2127"/>
          <w:tab w:val="left" w:pos="8640"/>
        </w:tabs>
        <w:spacing w:line="360" w:lineRule="auto"/>
        <w:ind w:right="-136"/>
        <w:contextualSpacing w:val="0"/>
        <w:jc w:val="both"/>
      </w:pPr>
      <w:r w:rsidDel="00000000" w:rsidR="00000000" w:rsidRPr="00000000">
        <w:rPr>
          <w:rtl w:val="0"/>
        </w:rPr>
      </w:r>
    </w:p>
    <w:p w:rsidR="00000000" w:rsidDel="00000000" w:rsidP="00000000" w:rsidRDefault="00000000" w:rsidRPr="00000000">
      <w:pPr>
        <w:tabs>
          <w:tab w:val="left" w:pos="2127"/>
          <w:tab w:val="left" w:pos="8640"/>
        </w:tabs>
        <w:spacing w:line="360" w:lineRule="auto"/>
        <w:ind w:right="-136"/>
        <w:contextualSpacing w:val="0"/>
        <w:jc w:val="both"/>
      </w:pPr>
      <w:r w:rsidDel="00000000" w:rsidR="00000000" w:rsidRPr="00000000">
        <w:rPr>
          <w:rtl w:val="0"/>
        </w:rPr>
      </w:r>
    </w:p>
    <w:p w:rsidR="00000000" w:rsidDel="00000000" w:rsidP="00000000" w:rsidRDefault="00000000" w:rsidRPr="00000000">
      <w:pPr>
        <w:tabs>
          <w:tab w:val="left" w:pos="2127"/>
          <w:tab w:val="left" w:pos="8640"/>
        </w:tabs>
        <w:spacing w:line="360" w:lineRule="auto"/>
        <w:ind w:right="-136"/>
        <w:contextualSpacing w:val="0"/>
        <w:jc w:val="both"/>
      </w:pPr>
      <w:r w:rsidDel="00000000" w:rsidR="00000000" w:rsidRPr="00000000">
        <w:rPr>
          <w:rFonts w:ascii="Arial" w:cs="Arial" w:eastAsia="Arial" w:hAnsi="Arial"/>
          <w:vertAlign w:val="baseline"/>
          <w:rtl w:val="0"/>
        </w:rPr>
        <w:t xml:space="preserve">Según el oficio RH-347-2014,  recibido el 07 de marzo del 2014, en el cual se dictamina sobre la modificación, “…me permito indicarle que no tendría ningún impacto presupuestario, ya que dicha plaza se presupuestó para el año 2014 con la categoría correspondiente a un puesto profesional.” </w:t>
      </w:r>
      <w:r w:rsidDel="00000000" w:rsidR="00000000" w:rsidRPr="00000000">
        <w:rPr>
          <w:rtl w:val="0"/>
        </w:rPr>
      </w:r>
    </w:p>
    <w:p w:rsidR="00000000" w:rsidDel="00000000" w:rsidP="00000000" w:rsidRDefault="00000000" w:rsidRPr="00000000">
      <w:pPr>
        <w:ind w:right="-136"/>
        <w:contextualSpacing w:val="0"/>
        <w:jc w:val="both"/>
      </w:pPr>
      <w:r w:rsidDel="00000000" w:rsidR="00000000" w:rsidRPr="00000000">
        <w:rPr>
          <w:rFonts w:ascii="Arial" w:cs="Arial" w:eastAsia="Arial" w:hAnsi="Arial"/>
          <w:vertAlign w:val="baseline"/>
          <w:rtl w:val="0"/>
        </w:rPr>
        <w:t xml:space="preserve">Dado lo anterior, se emite criterio favorable sobre:</w:t>
      </w:r>
      <w:r w:rsidDel="00000000" w:rsidR="00000000" w:rsidRPr="00000000">
        <w:rPr>
          <w:rtl w:val="0"/>
        </w:rPr>
      </w:r>
    </w:p>
    <w:p w:rsidR="00000000" w:rsidDel="00000000" w:rsidP="00000000" w:rsidRDefault="00000000" w:rsidRPr="00000000">
      <w:pPr>
        <w:ind w:right="-136"/>
        <w:contextualSpacing w:val="0"/>
        <w:jc w:val="both"/>
      </w:pPr>
      <w:r w:rsidDel="00000000" w:rsidR="00000000" w:rsidRPr="00000000">
        <w:rPr>
          <w:rtl w:val="0"/>
        </w:rPr>
      </w:r>
    </w:p>
    <w:p w:rsidR="00000000" w:rsidDel="00000000" w:rsidP="00000000" w:rsidRDefault="00000000" w:rsidRPr="00000000">
      <w:pPr>
        <w:tabs>
          <w:tab w:val="left" w:pos="2127"/>
          <w:tab w:val="left" w:pos="8640"/>
        </w:tabs>
        <w:spacing w:line="360" w:lineRule="auto"/>
        <w:ind w:right="-136"/>
        <w:contextualSpacing w:val="0"/>
        <w:jc w:val="both"/>
      </w:pPr>
      <w:r w:rsidDel="00000000" w:rsidR="00000000" w:rsidRPr="00000000">
        <w:rPr>
          <w:rFonts w:ascii="Arial" w:cs="Arial" w:eastAsia="Arial" w:hAnsi="Arial"/>
          <w:vertAlign w:val="baseline"/>
          <w:rtl w:val="0"/>
        </w:rPr>
        <w:t xml:space="preserve">La solicitud de la modificación de la plaza NT0174 a Profesional en Gestión de Proyectos por un 20% de jornada durante las fechas del 01 de marzo al 31 de diciembre de 2014, ya que no modifican la planificación estratégica ni la planificación operativa, según el periodo mencionado, más bien obedece al cumplimiento de lo planificado por el programa.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Quedo a sus órdenes para tender cualquier información adicional.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TFM/eqa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Cc: </w:t>
        <w:tab/>
        <w:t xml:space="preserve">Dr. Julio César Calvo A., Presidente Consejo Institucional.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16"/>
          <w:szCs w:val="16"/>
          <w:vertAlign w:val="baseline"/>
          <w:rtl w:val="0"/>
        </w:rPr>
        <w:t xml:space="preserve">Ing. Milton Villarreal Castro, PhD. Vicerrector de Investigación y Extensión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16"/>
          <w:szCs w:val="16"/>
          <w:vertAlign w:val="baseline"/>
          <w:rtl w:val="0"/>
        </w:rPr>
        <w:t xml:space="preserve">Edgar Ortiz Malavassi, Ph.D, Director de Proyectos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16"/>
          <w:szCs w:val="16"/>
          <w:vertAlign w:val="baseline"/>
          <w:rtl w:val="0"/>
        </w:rPr>
        <w:t xml:space="preserve">Licda. Bertalía Sánchez, Secretaría del Consejo Institucional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16"/>
          <w:szCs w:val="16"/>
          <w:vertAlign w:val="baseline"/>
          <w:rtl w:val="0"/>
        </w:rPr>
        <w:t xml:space="preserve">Archivo</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0"/>
          <w:sz w:val="24"/>
          <w:szCs w:val="24"/>
          <w:vertAlign w:val="baseline"/>
          <w:rtl w:val="0"/>
        </w:rPr>
        <w:t xml:space="preserve">ANEXO 2</w:t>
      </w:r>
    </w:p>
    <w:p w:rsidR="00000000" w:rsidDel="00000000" w:rsidP="00000000" w:rsidRDefault="00000000" w:rsidRPr="00000000">
      <w:pPr>
        <w:ind w:left="5664" w:firstLine="707.9999999999995"/>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7f7f7f"/>
          <w:vertAlign w:val="baseline"/>
          <w:rtl w:val="0"/>
        </w:rPr>
        <w:t xml:space="preserve">OPI-0201-2014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7f7f7f"/>
          <w:sz w:val="44"/>
          <w:szCs w:val="44"/>
          <w:vertAlign w:val="baseline"/>
          <w:rtl w:val="0"/>
        </w:rPr>
        <w:t xml:space="preserve">Memorando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Para:</w:t>
        <w:tab/>
        <w:tab/>
      </w:r>
      <w:r w:rsidDel="00000000" w:rsidR="00000000" w:rsidRPr="00000000">
        <w:rPr>
          <w:rFonts w:ascii="Arial" w:cs="Arial" w:eastAsia="Arial" w:hAnsi="Arial"/>
          <w:b w:val="1"/>
          <w:vertAlign w:val="baseline"/>
          <w:rtl w:val="0"/>
        </w:rPr>
        <w:t xml:space="preserve">Ing. Alexander Valerín Castro, Coordinador</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b w:val="1"/>
          <w:vertAlign w:val="baseline"/>
          <w:rtl w:val="0"/>
        </w:rPr>
        <w:t xml:space="preserve">Comisión de Planificación y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De:</w:t>
        <w:tab/>
        <w:tab/>
      </w:r>
      <w:r w:rsidDel="00000000" w:rsidR="00000000" w:rsidRPr="00000000">
        <w:rPr>
          <w:rFonts w:ascii="Arial" w:cs="Arial" w:eastAsia="Arial" w:hAnsi="Arial"/>
          <w:b w:val="1"/>
          <w:vertAlign w:val="baseline"/>
          <w:rtl w:val="0"/>
        </w:rPr>
        <w:t xml:space="preserve">MAU. Tatiana Fernández Martín, Directora</w:t>
      </w:r>
      <w:r w:rsidDel="00000000" w:rsidR="00000000" w:rsidRPr="00000000">
        <w:rPr>
          <w:rtl w:val="0"/>
        </w:rPr>
      </w:r>
    </w:p>
    <w:p w:rsidR="00000000" w:rsidDel="00000000" w:rsidP="00000000" w:rsidRDefault="00000000" w:rsidRPr="00000000">
      <w:pPr>
        <w:ind w:left="708" w:firstLine="708"/>
        <w:contextualSpacing w:val="0"/>
      </w:pPr>
      <w:r w:rsidDel="00000000" w:rsidR="00000000" w:rsidRPr="00000000">
        <w:rPr>
          <w:rFonts w:ascii="Arial" w:cs="Arial" w:eastAsia="Arial" w:hAnsi="Arial"/>
          <w:b w:val="1"/>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 w:val="left" w:pos="8160"/>
        </w:tabs>
        <w:contextualSpacing w:val="0"/>
      </w:pPr>
      <w:r w:rsidDel="00000000" w:rsidR="00000000" w:rsidRPr="00000000">
        <w:rPr>
          <w:rtl w:val="0"/>
        </w:rPr>
      </w:r>
    </w:p>
    <w:p w:rsidR="00000000" w:rsidDel="00000000" w:rsidP="00000000" w:rsidRDefault="00000000" w:rsidRPr="00000000">
      <w:pPr>
        <w:tabs>
          <w:tab w:val="left" w:pos="720"/>
          <w:tab w:val="left" w:pos="1440"/>
          <w:tab w:val="left" w:pos="1560"/>
          <w:tab w:val="left" w:pos="8160"/>
        </w:tabs>
        <w:contextualSpacing w:val="0"/>
      </w:pPr>
      <w:r w:rsidDel="00000000" w:rsidR="00000000" w:rsidRPr="00000000">
        <w:rPr>
          <w:rFonts w:ascii="Arial" w:cs="Arial" w:eastAsia="Arial" w:hAnsi="Arial"/>
          <w:vertAlign w:val="baseline"/>
          <w:rtl w:val="0"/>
        </w:rPr>
        <w:t xml:space="preserve">Fecha:</w:t>
        <w:tab/>
      </w:r>
      <w:r w:rsidDel="00000000" w:rsidR="00000000" w:rsidRPr="00000000">
        <w:rPr>
          <w:rFonts w:ascii="Arial" w:cs="Arial" w:eastAsia="Arial" w:hAnsi="Arial"/>
          <w:b w:val="1"/>
          <w:vertAlign w:val="baseline"/>
          <w:rtl w:val="0"/>
        </w:rPr>
        <w:t xml:space="preserve">21 de marzo del 2014</w:t>
      </w:r>
      <w:r w:rsidDel="00000000" w:rsidR="00000000" w:rsidRPr="00000000">
        <w:rPr>
          <w:rtl w:val="0"/>
        </w:rPr>
      </w:r>
    </w:p>
    <w:p w:rsidR="00000000" w:rsidDel="00000000" w:rsidP="00000000" w:rsidRDefault="00000000" w:rsidRPr="00000000">
      <w:pPr>
        <w:tabs>
          <w:tab w:val="left" w:pos="720"/>
          <w:tab w:val="left" w:pos="1440"/>
          <w:tab w:val="left" w:pos="2160"/>
          <w:tab w:val="left" w:pos="8160"/>
        </w:tabs>
        <w:contextualSpacing w:val="0"/>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Arial" w:cs="Arial" w:eastAsia="Arial" w:hAnsi="Arial"/>
          <w:vertAlign w:val="baseline"/>
          <w:rtl w:val="0"/>
        </w:rPr>
        <w:t xml:space="preserve">Asunto:</w:t>
        <w:tab/>
      </w:r>
      <w:r w:rsidDel="00000000" w:rsidR="00000000" w:rsidRPr="00000000">
        <w:rPr>
          <w:rFonts w:ascii="Arial" w:cs="Arial" w:eastAsia="Arial" w:hAnsi="Arial"/>
          <w:b w:val="1"/>
          <w:vertAlign w:val="baseline"/>
          <w:rtl w:val="0"/>
        </w:rPr>
        <w:t xml:space="preserve">Sustitución del oficio OPI-0173-2014 </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tabs>
          <w:tab w:val="left" w:pos="2127"/>
          <w:tab w:val="left" w:pos="8640"/>
        </w:tabs>
        <w:spacing w:line="360" w:lineRule="auto"/>
        <w:ind w:right="-136"/>
        <w:contextualSpacing w:val="0"/>
        <w:jc w:val="both"/>
      </w:pPr>
      <w:r w:rsidDel="00000000" w:rsidR="00000000" w:rsidRPr="00000000">
        <w:rPr>
          <w:rtl w:val="0"/>
        </w:rPr>
      </w:r>
    </w:p>
    <w:p w:rsidR="00000000" w:rsidDel="00000000" w:rsidP="00000000" w:rsidRDefault="00000000" w:rsidRPr="00000000">
      <w:pPr>
        <w:tabs>
          <w:tab w:val="left" w:pos="2127"/>
          <w:tab w:val="left" w:pos="8640"/>
        </w:tabs>
        <w:spacing w:line="360" w:lineRule="auto"/>
        <w:ind w:right="-136"/>
        <w:contextualSpacing w:val="0"/>
        <w:jc w:val="both"/>
      </w:pPr>
      <w:r w:rsidDel="00000000" w:rsidR="00000000" w:rsidRPr="00000000">
        <w:rPr>
          <w:rFonts w:ascii="Arial" w:cs="Arial" w:eastAsia="Arial" w:hAnsi="Arial"/>
          <w:vertAlign w:val="baseline"/>
          <w:rtl w:val="0"/>
        </w:rPr>
        <w:t xml:space="preserve">Debido a que en la Sesión Ordinaria No. 2859, Artículo 9, del 05 de marzo del 2014 se modifica la plaza NT0174 a una jornada del 50%, por tanto se sustituye el oficio OPI-0173-2014 y en atención al oficio R-0142-2014 del 05 de marzo del presente año, donde se presenta la solicitud de modificación de la plaza  NT0174. </w:t>
      </w:r>
      <w:r w:rsidDel="00000000" w:rsidR="00000000" w:rsidRPr="00000000">
        <w:rPr>
          <w:rtl w:val="0"/>
        </w:rPr>
      </w:r>
    </w:p>
    <w:p w:rsidR="00000000" w:rsidDel="00000000" w:rsidP="00000000" w:rsidRDefault="00000000" w:rsidRPr="00000000">
      <w:pPr>
        <w:tabs>
          <w:tab w:val="left" w:pos="2127"/>
          <w:tab w:val="left" w:pos="8640"/>
        </w:tabs>
        <w:spacing w:line="360" w:lineRule="auto"/>
        <w:ind w:right="-136"/>
        <w:contextualSpacing w:val="0"/>
        <w:jc w:val="both"/>
      </w:pPr>
      <w:r w:rsidDel="00000000" w:rsidR="00000000" w:rsidRPr="00000000">
        <w:rPr>
          <w:rFonts w:ascii="Arial" w:cs="Arial" w:eastAsia="Arial" w:hAnsi="Arial"/>
          <w:vertAlign w:val="baseline"/>
          <w:rtl w:val="0"/>
        </w:rPr>
        <w:t xml:space="preserve">La misma fue aprobada por el Consejo Institucional en la Sesión Ordinaria No. 2859, Artículo 9, del 05 de marzo del 2014, con las siguientes características:</w:t>
      </w:r>
      <w:r w:rsidDel="00000000" w:rsidR="00000000" w:rsidRPr="00000000">
        <w:rPr>
          <w:rtl w:val="0"/>
        </w:rPr>
      </w:r>
    </w:p>
    <w:tbl>
      <w:tblPr>
        <w:tblStyle w:val="Table9"/>
        <w:bidi w:val="0"/>
        <w:tblW w:w="9405.0" w:type="dxa"/>
        <w:jc w:val="center"/>
        <w:tblInd w:w="-70.0" w:type="dxa"/>
        <w:tblLayout w:type="fixed"/>
        <w:tblLook w:val="0000"/>
      </w:tblPr>
      <w:tblGrid>
        <w:gridCol w:w="1565"/>
        <w:gridCol w:w="1701"/>
        <w:gridCol w:w="1134"/>
        <w:gridCol w:w="992"/>
        <w:gridCol w:w="1555"/>
        <w:gridCol w:w="2458"/>
        <w:tblGridChange w:id="0">
          <w:tblGrid>
            <w:gridCol w:w="1565"/>
            <w:gridCol w:w="1701"/>
            <w:gridCol w:w="1134"/>
            <w:gridCol w:w="992"/>
            <w:gridCol w:w="1555"/>
            <w:gridCol w:w="2458"/>
          </w:tblGrid>
        </w:tblGridChange>
      </w:tblGrid>
      <w:tr>
        <w:trPr>
          <w:trHeight w:val="680" w:hRule="atLeast"/>
        </w:trPr>
        <w:tc>
          <w:tcPr>
            <w:tcBorders>
              <w:top w:color="000000" w:space="0" w:sz="4" w:val="single"/>
              <w:left w:color="000000" w:space="0" w:sz="4" w:val="single"/>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Número de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Equivalencia Tiempo Completo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Adscrita a:</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NT0174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VIE/ Dirección de proyectos</w:t>
            </w:r>
            <w:r w:rsidDel="00000000" w:rsidR="00000000" w:rsidRPr="00000000">
              <w:rPr>
                <w:rtl w:val="0"/>
              </w:rPr>
            </w:r>
          </w:p>
        </w:tc>
      </w:tr>
    </w:tbl>
    <w:p w:rsidR="00000000" w:rsidDel="00000000" w:rsidP="00000000" w:rsidRDefault="00000000" w:rsidRPr="00000000">
      <w:pPr>
        <w:tabs>
          <w:tab w:val="left" w:pos="284"/>
        </w:tabs>
        <w:contextualSpacing w:val="0"/>
        <w:jc w:val="both"/>
      </w:pP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Se solicita que el 20% de dicha plaza se modifique  del 01 de marzo al 31 de diciembre, 2014 con las siguientes características:</w:t>
      </w:r>
      <w:r w:rsidDel="00000000" w:rsidR="00000000" w:rsidRPr="00000000">
        <w:rPr>
          <w:rtl w:val="0"/>
        </w:rPr>
      </w:r>
    </w:p>
    <w:tbl>
      <w:tblPr>
        <w:tblStyle w:val="Table10"/>
        <w:bidi w:val="0"/>
        <w:tblW w:w="10866.0" w:type="dxa"/>
        <w:jc w:val="left"/>
        <w:tblInd w:w="-284.0" w:type="dxa"/>
        <w:tblLayout w:type="fixed"/>
        <w:tblLook w:val="0000"/>
      </w:tblPr>
      <w:tblGrid>
        <w:gridCol w:w="938"/>
        <w:gridCol w:w="2169"/>
        <w:gridCol w:w="930"/>
        <w:gridCol w:w="1089"/>
        <w:gridCol w:w="1245"/>
        <w:gridCol w:w="1400"/>
        <w:gridCol w:w="3095"/>
        <w:tblGridChange w:id="0">
          <w:tblGrid>
            <w:gridCol w:w="938"/>
            <w:gridCol w:w="2169"/>
            <w:gridCol w:w="930"/>
            <w:gridCol w:w="1089"/>
            <w:gridCol w:w="1245"/>
            <w:gridCol w:w="1400"/>
            <w:gridCol w:w="3095"/>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Número de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Jornada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Equivalencia Tiempo Completo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dd6ee"/>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Para ser utilizada en:</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NT0174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Profesional en Gestión de Proyectos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VIE/ Dirección de proyectos</w:t>
              <w:br w:type="textWrapping"/>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gestión de la información de las publicaciones que realizan los Investigadores(as).</w:t>
            </w:r>
            <w:r w:rsidDel="00000000" w:rsidR="00000000" w:rsidRPr="00000000">
              <w:rPr>
                <w:rtl w:val="0"/>
              </w:rPr>
            </w:r>
          </w:p>
        </w:tc>
      </w:tr>
    </w:tbl>
    <w:p w:rsidR="00000000" w:rsidDel="00000000" w:rsidP="00000000" w:rsidRDefault="00000000" w:rsidRPr="00000000">
      <w:pPr>
        <w:spacing w:line="317"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Lo anterior se justifica en el oficio VIE-066-14, donde indica: “…se requiere apoyo en la gestión de la información de las publicaciones que realizan los Investigadores(as) del Tecnológico de Costa Rica, lo que implica entre otros aspectos, el levantamiento de las bases de datos de las publicaciones en índices internacionales y su mantenimiento.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anterior, se solicita la autorización y resolución de Rectoría para cambiar el nombre del puesto de Profesor a Profesional en Gestión de Proyectos, de la Plaza NT0174, jornada 20%, del 1° de marzo al 31 de diciembre, 2014.”</w:t>
      </w:r>
      <w:r w:rsidDel="00000000" w:rsidR="00000000" w:rsidRPr="00000000">
        <w:rPr>
          <w:rFonts w:ascii="Arial" w:cs="Arial" w:eastAsia="Arial" w:hAnsi="Arial"/>
          <w:color w:val="000000"/>
          <w:vertAlign w:val="baseline"/>
          <w:rtl w:val="0"/>
        </w:rPr>
        <w:t xml:space="preserve">La plaza mencionada, se vincula con: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Objetivos Estratégicos</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5. Mejorar la generación  y transferencia de conocimiento científico, tecnológico y técnico innovador, de calidad  y pertinencia,  promoviendo enfoques interdisciplinarios, multidisciplinarios  o transdisciplinarios.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misma se vincula directamente con el Plan Anual Operativo  2014:</w:t>
      </w:r>
      <w:r w:rsidDel="00000000" w:rsidR="00000000" w:rsidRPr="00000000">
        <w:rPr>
          <w:rtl w:val="0"/>
        </w:rPr>
      </w:r>
    </w:p>
    <w:tbl>
      <w:tblPr>
        <w:tblStyle w:val="Table11"/>
        <w:bidi w:val="0"/>
        <w:tblW w:w="10278.0" w:type="dxa"/>
        <w:jc w:val="center"/>
        <w:tblInd w:w="-70.0" w:type="dxa"/>
        <w:tblLayout w:type="fixed"/>
        <w:tblLook w:val="0000"/>
      </w:tblPr>
      <w:tblGrid>
        <w:gridCol w:w="30"/>
        <w:gridCol w:w="3232"/>
        <w:gridCol w:w="2315"/>
        <w:gridCol w:w="2160"/>
        <w:gridCol w:w="1388"/>
        <w:gridCol w:w="1153"/>
        <w:tblGridChange w:id="0">
          <w:tblGrid>
            <w:gridCol w:w="30"/>
            <w:gridCol w:w="3232"/>
            <w:gridCol w:w="2315"/>
            <w:gridCol w:w="2160"/>
            <w:gridCol w:w="1388"/>
            <w:gridCol w:w="1153"/>
          </w:tblGrid>
        </w:tblGridChange>
      </w:tblGrid>
      <w:tr>
        <w:trPr>
          <w:trHeight w:val="340" w:hRule="atLeast"/>
        </w:trPr>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Objetivo Estratégico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Acciones Estratégicas            </w:t>
              <w:br w:type="textWrapping"/>
              <w:t xml:space="preserve"> Objetivo Operativo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Meta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Indicador</w:t>
            </w: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Política Específica</w:t>
            </w:r>
            <w:r w:rsidDel="00000000" w:rsidR="00000000" w:rsidRPr="00000000">
              <w:rPr>
                <w:rtl w:val="0"/>
              </w:rPr>
            </w:r>
          </w:p>
        </w:tc>
      </w:tr>
      <w:tr>
        <w:trPr>
          <w:trHeight w:val="1420" w:hRule="atLeast"/>
        </w:trPr>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 Mejorar la generación  y transferencia de conocimiento científico, tecnológico y técnico innovador, de calidad  y pertinencia,  promoviendo enfoques interdisciplinarios, multidisciplinarios  o transdisciplinarios.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5.1 Difundir los resultados de los proyectos  de investigación y extensión a nivel nacional e internacional.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5.4.5: Desarrollar 10 iniciativas de divulgación del conocimiento científico y tecnológico generado por el TEC.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5.4.5.1 Cantidad de iniciativas de divulgación desarrolladas.</w:t>
            </w: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2.1.3</w:t>
              <w:br w:type="textWrapping"/>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Fuente: Oficina de Planificación Institucional. PAO 2014</w:t>
      </w:r>
      <w:r w:rsidDel="00000000" w:rsidR="00000000" w:rsidRPr="00000000">
        <w:rPr>
          <w:rtl w:val="0"/>
        </w:rPr>
      </w:r>
    </w:p>
    <w:p w:rsidR="00000000" w:rsidDel="00000000" w:rsidP="00000000" w:rsidRDefault="00000000" w:rsidRPr="00000000">
      <w:pPr>
        <w:tabs>
          <w:tab w:val="left" w:pos="2127"/>
          <w:tab w:val="left" w:pos="8640"/>
        </w:tabs>
        <w:spacing w:line="360" w:lineRule="auto"/>
        <w:ind w:right="-136"/>
        <w:contextualSpacing w:val="0"/>
        <w:jc w:val="both"/>
      </w:pPr>
      <w:r w:rsidDel="00000000" w:rsidR="00000000" w:rsidRPr="00000000">
        <w:rPr>
          <w:rFonts w:ascii="Arial" w:cs="Arial" w:eastAsia="Arial" w:hAnsi="Arial"/>
          <w:vertAlign w:val="baseline"/>
          <w:rtl w:val="0"/>
        </w:rPr>
        <w:t xml:space="preserve">Según el oficio RH-347-2014,  recibido el 07 de marzo del 2014, en el cual se dictamina sobre la modificación, “…me permito indicarle que no tendría ningún impacto presupuestario, ya que dicha plaza se presupuestó para el año 2014 con la categoría correspondiente a un puesto profesional.” </w:t>
      </w:r>
      <w:r w:rsidDel="00000000" w:rsidR="00000000" w:rsidRPr="00000000">
        <w:rPr>
          <w:rtl w:val="0"/>
        </w:rPr>
      </w:r>
    </w:p>
    <w:p w:rsidR="00000000" w:rsidDel="00000000" w:rsidP="00000000" w:rsidRDefault="00000000" w:rsidRPr="00000000">
      <w:pPr>
        <w:ind w:right="-136"/>
        <w:contextualSpacing w:val="0"/>
        <w:jc w:val="both"/>
      </w:pPr>
      <w:r w:rsidDel="00000000" w:rsidR="00000000" w:rsidRPr="00000000">
        <w:rPr>
          <w:rFonts w:ascii="Arial" w:cs="Arial" w:eastAsia="Arial" w:hAnsi="Arial"/>
          <w:vertAlign w:val="baseline"/>
          <w:rtl w:val="0"/>
        </w:rPr>
        <w:t xml:space="preserve">Dado lo anterior, se emite criterio favorable sobre:</w:t>
      </w:r>
      <w:r w:rsidDel="00000000" w:rsidR="00000000" w:rsidRPr="00000000">
        <w:rPr>
          <w:rtl w:val="0"/>
        </w:rPr>
      </w:r>
    </w:p>
    <w:p w:rsidR="00000000" w:rsidDel="00000000" w:rsidP="00000000" w:rsidRDefault="00000000" w:rsidRPr="00000000">
      <w:pPr>
        <w:ind w:right="-136"/>
        <w:contextualSpacing w:val="0"/>
        <w:jc w:val="both"/>
      </w:pPr>
      <w:r w:rsidDel="00000000" w:rsidR="00000000" w:rsidRPr="00000000">
        <w:rPr>
          <w:rtl w:val="0"/>
        </w:rPr>
      </w:r>
    </w:p>
    <w:p w:rsidR="00000000" w:rsidDel="00000000" w:rsidP="00000000" w:rsidRDefault="00000000" w:rsidRPr="00000000">
      <w:pPr>
        <w:tabs>
          <w:tab w:val="left" w:pos="2127"/>
          <w:tab w:val="left" w:pos="8640"/>
        </w:tabs>
        <w:spacing w:line="360" w:lineRule="auto"/>
        <w:ind w:right="-136"/>
        <w:contextualSpacing w:val="0"/>
        <w:jc w:val="both"/>
      </w:pPr>
      <w:r w:rsidDel="00000000" w:rsidR="00000000" w:rsidRPr="00000000">
        <w:rPr>
          <w:rFonts w:ascii="Arial" w:cs="Arial" w:eastAsia="Arial" w:hAnsi="Arial"/>
          <w:vertAlign w:val="baseline"/>
          <w:rtl w:val="0"/>
        </w:rPr>
        <w:t xml:space="preserve">La solicitud de la modificación de la plaza NT0174 a Profesional en Gestión de Proyectos por un 20% de jornada durante las fechas del 01 de marzo al 31 de diciembre de 2014, ya que no modifican la planificación estratégica ni la planificación operativa, según el periodo mencionado, más bien obedece al cumplimiento de lo planificado por el programa.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Quedo a sus órdenes para tender cualquier información adicional.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TFM/eqa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Cc: </w:t>
        <w:tab/>
        <w:t xml:space="preserve">Ing. Milton Villarreal Castro, PhD. Vicerrector de Investigación y Extensión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16"/>
          <w:szCs w:val="16"/>
          <w:vertAlign w:val="baseline"/>
          <w:rtl w:val="0"/>
        </w:rPr>
        <w:t xml:space="preserve">Edgar Ortiz Malavassi, Ph.D, Director de Proyectos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16"/>
          <w:szCs w:val="16"/>
          <w:vertAlign w:val="baseline"/>
          <w:rtl w:val="0"/>
        </w:rPr>
        <w:t xml:space="preserve">Licda. Bertalía Sánchez, Secretaría del Consejo Institucional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16"/>
          <w:szCs w:val="16"/>
          <w:vertAlign w:val="baseline"/>
          <w:rtl w:val="0"/>
        </w:rPr>
        <w:t xml:space="preserve">Archivo</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sectPr>
      <w:headerReference r:id="rId5" w:type="default"/>
      <w:headerReference r:id="rId6" w:type="first"/>
      <w:pgSz w:h="15840" w:w="12240"/>
      <w:pgMar w:bottom="993" w:top="0"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2863, Artículo 10, del 2 de abril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