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SCI-575-2014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81.0" w:type="dxa"/>
        <w:jc w:val="left"/>
        <w:tblInd w:w="-6.999999999999993" w:type="dxa"/>
        <w:tblLayout w:type="fixed"/>
        <w:tblLook w:val="0000"/>
      </w:tblPr>
      <w:tblGrid>
        <w:gridCol w:w="1123"/>
        <w:gridCol w:w="11"/>
        <w:gridCol w:w="8647"/>
        <w:tblGridChange w:id="0">
          <w:tblGrid>
            <w:gridCol w:w="1123"/>
            <w:gridCol w:w="11"/>
            <w:gridCol w:w="864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Para:</w:t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Dr. Julio C. Calvo A, Rector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Ing. Luis Paulino Méndez, Vicerrector de Docencia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Dr. Milton Villarreal, Vicerrector de Investigación y Extensión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Dr. Erick Mata, Director de la Dirección de Posgrado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In. Galina Pridybailo, Directora de la Escuela de Ingeniería de los Materiales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M.Sc. José Andrés Masís B., Director Oficina de Planificación 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la Educación Superior Consejo Nacional de Rectores (CONARE) 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MAU. Tatiana Fernández, Directora de la Oficina de Planificación Institucional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De: </w:t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Licda. Bertalía Sánchez Salas, Directora Ejecutiva 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Secretaría del Consejo Institucional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Instituto Tecnológico de Costa Rica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 de agosto de 2014</w:t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Asunto: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hanging="45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Sesión Ordinaria No. 2880, Artículo 12, del 13 de agosto de 2014.  Programa de Maestría en Ingeniería en Dispositivos Médicos </w:t>
            </w:r>
          </w:p>
          <w:p w:rsidR="00000000" w:rsidDel="00000000" w:rsidP="00000000" w:rsidRDefault="00000000" w:rsidRPr="00000000">
            <w:pPr>
              <w:ind w:left="45" w:hanging="45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5" w:right="284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El Estatuto Orgánico del ITCR, establece:</w:t>
      </w:r>
    </w:p>
    <w:p w:rsidR="00000000" w:rsidDel="00000000" w:rsidP="00000000" w:rsidRDefault="00000000" w:rsidRPr="00000000">
      <w:pPr>
        <w:spacing w:after="0" w:before="0" w:line="240" w:lineRule="auto"/>
        <w:ind w:right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“ARTÍCULO 18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Son funciones del Consejo Institucional: </w:t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134" w:right="430" w:hanging="425"/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Decidir, previa consulta al Consejo de Vicerrectoría respectivo, sobre la creación, modificación, traslado, o eliminación de carreras y programas del Instituto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ARTÍCULO 34</w:t>
      </w:r>
    </w:p>
    <w:p w:rsidR="00000000" w:rsidDel="00000000" w:rsidP="00000000" w:rsidRDefault="00000000" w:rsidRPr="00000000">
      <w:pPr>
        <w:ind w:left="720" w:right="43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Son funciones específicas del Vicerrector de Investigación y Extensión:</w:t>
      </w:r>
    </w:p>
    <w:p w:rsidR="00000000" w:rsidDel="00000000" w:rsidP="00000000" w:rsidRDefault="00000000" w:rsidRPr="00000000">
      <w:pPr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right="43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Procurar la eficiencia de las labores de investigación y extensión y velar por su vinculación con la labor docente</w:t>
      </w:r>
    </w:p>
    <w:p w:rsidR="00000000" w:rsidDel="00000000" w:rsidP="00000000" w:rsidRDefault="00000000" w:rsidRPr="00000000">
      <w:pPr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Artículo 49 </w:t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Definición de área académica</w:t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COMUNICACIÓN DE ACUERDO </w:t>
      </w:r>
    </w:p>
    <w:p w:rsidR="00000000" w:rsidDel="00000000" w:rsidP="00000000" w:rsidRDefault="00000000" w:rsidRPr="00000000">
      <w:pPr>
        <w:ind w:right="584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Sesión Ordinaria No. 2880, Artículo 12, del 13 de agosto  de 2014</w:t>
      </w:r>
    </w:p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rtl w:val="0"/>
        </w:rPr>
        <w:t xml:space="preserve">Página </w:t>
      </w:r>
    </w:p>
    <w:p w:rsidR="00000000" w:rsidDel="00000000" w:rsidP="00000000" w:rsidRDefault="00000000" w:rsidRPr="00000000">
      <w:pPr>
        <w:spacing w:after="0" w:before="0" w:line="240" w:lineRule="auto"/>
        <w:ind w:right="43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56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Un área académica es estructuralmente una unidad, adscrita a una Vicerrectoría académica, una Sede Regional o a la Dirección de Posgrado, en la cual participan dos o más escuelas con el fin de desarrollar programas académicos de docencia o programas consolidados de investigación y/o extensión, de carácter inter, trans y/o multidisciplinario. Estará a cargo de un coordinador.</w:t>
      </w:r>
    </w:p>
    <w:p w:rsidR="00000000" w:rsidDel="00000000" w:rsidP="00000000" w:rsidRDefault="00000000" w:rsidRPr="00000000">
      <w:pPr>
        <w:spacing w:after="0" w:before="0" w:line="240" w:lineRule="auto"/>
        <w:ind w:left="1106" w:right="430" w:hanging="385.9999999999999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Artículo 70 </w:t>
      </w:r>
    </w:p>
    <w:p w:rsidR="00000000" w:rsidDel="00000000" w:rsidP="00000000" w:rsidRDefault="00000000" w:rsidRPr="00000000">
      <w:pPr>
        <w:spacing w:after="0" w:before="0" w:line="240" w:lineRule="auto"/>
        <w:ind w:left="756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La Vicerrectoría de Investigación y Extensión contará con una Dirección de Proyectos, una Dirección de Cooperación y una Dirección de Posgrados; las que estarán a cargo de sendos directores, quienes serán nombrados por el Rector a propuesta del Vicerrector de Investigación y Extensión. Cesarán en sus cargos cuando el Vicerrector cese en el suyo o cuando así lo acuerde el Rector, a solicitud del Vicerrector. Las funciones específicas de estas direcciones se establecerán en un Reglamento dictado por el Consejo Institucional a propuesta del Consejo de Investigación y Extensión.</w:t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Artículo 112 </w:t>
      </w:r>
    </w:p>
    <w:p w:rsidR="00000000" w:rsidDel="00000000" w:rsidP="00000000" w:rsidRDefault="00000000" w:rsidRPr="00000000">
      <w:pPr>
        <w:spacing w:after="0" w:before="0" w:line="240" w:lineRule="auto"/>
        <w:ind w:left="756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Los planes de estudio de las carreras serán elaborados por los departamentos encargados de ejecutarlos, y serán aprobados en primera instancia por el Consejo de Docencia o Consejo de Posgrado, según corresponda. La iniciativa para la elaboración o modificación de un plan de estudio deberá provenir de las unidades académicas respectivas o de los órganos superiores del Instituto. Lo anterior se regirá por los reglamentos correspondientes.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5" w:right="284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Las Políticas Generales, Eje Temático: Docencia, Punto 1.1.  establece: </w:t>
      </w:r>
    </w:p>
    <w:p w:rsidR="00000000" w:rsidDel="00000000" w:rsidP="00000000" w:rsidRDefault="00000000" w:rsidRPr="00000000">
      <w:pPr>
        <w:spacing w:after="0" w:before="0" w:line="240" w:lineRule="auto"/>
        <w:ind w:left="295" w:right="43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1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“S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e desarrollarán programas académicos de excelencia en las áreas de ciencia y tecnología, procurando ampliar las posibilidades de acceso, la eficiencia y eficacia de los servicios y programas hacia la población estudiantil acordes con los ejes de conocimiento estratégicos.”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5" w:right="284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El Artículo 20 del Reglamento del Consejo Institucional, prescribe: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938" w:right="43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“Son asuntos propios del análisis y dictamen de la Comisión de Asuntos Académicos y Estudiantiles, según su competencia: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298" w:right="430" w:hanging="360"/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Las propuestas de creación, modificación, traslado o eliminación de cualquier instancia, carreras y programas académicos.</w:t>
      </w:r>
    </w:p>
    <w:p w:rsidR="00000000" w:rsidDel="00000000" w:rsidP="00000000" w:rsidRDefault="00000000" w:rsidRPr="00000000">
      <w:pPr>
        <w:ind w:left="1276" w:firstLine="0"/>
        <w:contextualSpacing w:val="0"/>
      </w:pPr>
      <w:r w:rsidDel="00000000" w:rsidR="00000000" w:rsidRPr="00000000">
        <w:rPr>
          <w:rtl w:val="0"/>
        </w:rPr>
        <w:t xml:space="preserve">…”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5" w:right="284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El Reglamento de Creación, Modificación o Eliminación de Unidades, en el Artículo 10, establece: </w:t>
      </w:r>
    </w:p>
    <w:p w:rsidR="00000000" w:rsidDel="00000000" w:rsidP="00000000" w:rsidRDefault="00000000" w:rsidRPr="00000000">
      <w:pPr>
        <w:spacing w:after="0" w:before="0" w:line="240" w:lineRule="auto"/>
        <w:ind w:right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0" w:right="616" w:hanging="349.00000000000006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“Artículo 10. </w:t>
      </w:r>
    </w:p>
    <w:p w:rsidR="00000000" w:rsidDel="00000000" w:rsidP="00000000" w:rsidRDefault="00000000" w:rsidRPr="00000000">
      <w:pPr>
        <w:ind w:left="1200" w:right="616" w:hanging="349.0000000000000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right="616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creación de unidades en Departamentos Académicos o Escuelas será automática, según conveniencia institucional y recomendación técnica, cuando el Consejo Institucional apruebe:</w:t>
      </w:r>
    </w:p>
    <w:p w:rsidR="00000000" w:rsidDel="00000000" w:rsidP="00000000" w:rsidRDefault="00000000" w:rsidRPr="00000000">
      <w:pPr>
        <w:ind w:right="61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COMUNICACIÓN DE ACUERDO </w:t>
      </w:r>
    </w:p>
    <w:p w:rsidR="00000000" w:rsidDel="00000000" w:rsidP="00000000" w:rsidRDefault="00000000" w:rsidRPr="00000000">
      <w:pPr>
        <w:ind w:right="584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Sesión Ordinaria No. 2880, Artículo 12, del 13 de agosto  de 2014</w:t>
      </w:r>
    </w:p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rtl w:val="0"/>
        </w:rPr>
        <w:t xml:space="preserve">Página 3</w:t>
      </w:r>
    </w:p>
    <w:p w:rsidR="00000000" w:rsidDel="00000000" w:rsidP="00000000" w:rsidRDefault="00000000" w:rsidRPr="00000000">
      <w:pPr>
        <w:ind w:right="61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61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851"/>
        </w:tabs>
        <w:spacing w:after="0" w:before="0" w:line="240" w:lineRule="auto"/>
        <w:ind w:left="1134" w:right="616" w:hanging="283"/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Una nueva carrera dentro de un Departamento Académico o Escuela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851"/>
        </w:tabs>
        <w:spacing w:after="0" w:before="0" w:line="240" w:lineRule="auto"/>
        <w:ind w:left="1134" w:right="616" w:hanging="283"/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Un énfasis adicional al impartido en un Departamento Académico o  Escuela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851"/>
        </w:tabs>
        <w:spacing w:after="0" w:before="0" w:line="240" w:lineRule="auto"/>
        <w:ind w:left="1134" w:right="616" w:hanging="283"/>
        <w:jc w:val="both"/>
        <w:rPr>
          <w:rFonts w:ascii="Arial" w:cs="Arial" w:eastAsia="Arial" w:hAnsi="Arial"/>
          <w:b w:val="0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Un grado de Diplomado, Licenciatura, Maestría o Doctorado dentro de un Departamento Académico o Escuela”</w:t>
      </w:r>
    </w:p>
    <w:p w:rsidR="00000000" w:rsidDel="00000000" w:rsidP="00000000" w:rsidRDefault="00000000" w:rsidRPr="00000000">
      <w:pPr>
        <w:tabs>
          <w:tab w:val="left" w:pos="851"/>
        </w:tabs>
        <w:ind w:right="61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50" w:right="191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 Comisión de Asuntos Académicos y Estudiantiles en la reunión No. 429-2014, realizada el viernes 23 de mayo de 2014, recibió al MSc. Ricardo Esquivel y el MSc. José Luis León,  de la Escuela de Ingeniería de los Materiales  y al MSc. William Delgado, del CEDA, quienes expusieron ampliamente sobre los avances de la Propuesta del Programa de Maestría en Dispositivos Médicos.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36" w:right="28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Los integrantes de la Comisión externan las observaciones y recomendaciones a la propuesta, asimismo, les felicitan por el excelente trabajo, resaltando que es un tema muy pertinente para el TEC, apegado a la Ley Constitutiva del ITCR que dicta sobre la competencia en ingeniería y ciencia conexas.</w:t>
      </w:r>
    </w:p>
    <w:p w:rsidR="00000000" w:rsidDel="00000000" w:rsidP="00000000" w:rsidRDefault="00000000" w:rsidRPr="00000000">
      <w:pPr>
        <w:tabs>
          <w:tab w:val="left" w:pos="851"/>
        </w:tabs>
        <w:ind w:right="61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50" w:right="191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 Secretaría del Consejo Institucional recibe el oficio VIE-528-2014, con fecha de recibido 05 de agosto de 2014, suscrito por el Dr. Milton Villarreal, Vicerrector de Investigación y Extensión, dirigido al Dr. Julio Calvo A., Presidente del Consejo Institucional, con copia la Ing. Jorge Chaves, Coordinador de la Comisión de Asuntos Académicos y Estudiantiles, en el cual remite la propuesta para la  aprobación del Programa de Maestría en Dispositivos Médicos, para análisis por parte del Consejo Institucional. (Ver Anexo 1).</w:t>
      </w:r>
    </w:p>
    <w:p w:rsidR="00000000" w:rsidDel="00000000" w:rsidP="00000000" w:rsidRDefault="00000000" w:rsidRPr="00000000">
      <w:pPr>
        <w:spacing w:after="0" w:before="0" w:line="240" w:lineRule="auto"/>
        <w:ind w:right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284" w:firstLine="42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284" w:firstLine="42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 el mismo oficio adjunta los siguientes documentos:</w:t>
      </w:r>
    </w:p>
    <w:p w:rsidR="00000000" w:rsidDel="00000000" w:rsidP="00000000" w:rsidRDefault="00000000" w:rsidRPr="00000000">
      <w:pPr>
        <w:spacing w:after="0" w:before="0" w:line="240" w:lineRule="auto"/>
        <w:ind w:right="284" w:firstLine="42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120" w:line="240" w:lineRule="auto"/>
        <w:ind w:left="765" w:right="284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VIE-DP-050-2014, con fecha 39 de julio de 2014, suscrito por el Dr. Erick Mata, Presidente del Consejo de Posgrado, remitido al Dr. Milton Villarreal, Vicerrector de Investigación y Extensión, en el cual transcribe el acuerdo tomado por el Consejo de Posgrado (Sesión Extraordinaria DP-09-2014, del 30 de julio de 2014), sobre el aval a la Propuesta del Programa Maestría en Dispositivos Médicos. (Ver Anexo 2).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240" w:line="240" w:lineRule="auto"/>
        <w:ind w:left="765" w:right="284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CEDA-163-2014, con fecha 19 de junio, 2014, suscrito por el M.A. Ulises Rodríguez, Director del Centro de Desarrollo Académico, en el cual adjunta Dictamen técnico-curricular sobre  la  propuesta  del Plan de estudios  del  Programa Maestría en Dispositivos Médicos. (Ver Anexo 3).</w:t>
      </w:r>
    </w:p>
    <w:p w:rsidR="00000000" w:rsidDel="00000000" w:rsidP="00000000" w:rsidRDefault="00000000" w:rsidRPr="00000000">
      <w:pPr>
        <w:spacing w:after="0" w:before="0" w:line="240" w:lineRule="auto"/>
        <w:ind w:right="284" w:firstLine="42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COMUNICACIÓN DE ACUERDO </w:t>
      </w:r>
    </w:p>
    <w:p w:rsidR="00000000" w:rsidDel="00000000" w:rsidP="00000000" w:rsidRDefault="00000000" w:rsidRPr="00000000">
      <w:pPr>
        <w:ind w:right="584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Sesión Ordinaria No. 2880, Artículo 12, del 13 de agosto  de 2014</w:t>
      </w:r>
    </w:p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rtl w:val="0"/>
        </w:rPr>
        <w:t xml:space="preserve">Página 4</w:t>
      </w:r>
    </w:p>
    <w:p w:rsidR="00000000" w:rsidDel="00000000" w:rsidP="00000000" w:rsidRDefault="00000000" w:rsidRPr="00000000">
      <w:pPr>
        <w:spacing w:after="0" w:before="0" w:line="240" w:lineRule="auto"/>
        <w:ind w:right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425" w:right="284" w:hanging="42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 Comisión de Asuntos Académicos y Estudiantiles en la reunión No. 436-2014, realizada el viernes 08 de agosto de 2014, analizó la propuesta para la  aprobación del Programa Maestría en Dispositivos Médicos remitida por la Vicerrectoría de Investigación y Extensión y dispuso avalarla y elevarla al pleno para su conocimiento y aprobación.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 ACUERDA: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Aprobar el Programa de Maestría en Dispositivos Médicos, remitido por la Vicerrectoría de Investigación y Extensión, según el documento adjunto.</w:t>
      </w:r>
    </w:p>
    <w:p w:rsidR="00000000" w:rsidDel="00000000" w:rsidP="00000000" w:rsidRDefault="00000000" w:rsidRPr="00000000">
      <w:pPr>
        <w:spacing w:after="0" w:before="0" w:line="240" w:lineRule="auto"/>
        <w:ind w:left="360" w:right="-9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Remitir el documento de la  Maestría en Dispositivos Médicos, al Consejo Nacional de Rectores, para su aprobación.</w:t>
      </w:r>
    </w:p>
    <w:p w:rsidR="00000000" w:rsidDel="00000000" w:rsidP="00000000" w:rsidRDefault="00000000" w:rsidRPr="00000000">
      <w:pPr>
        <w:spacing w:after="0" w:before="0" w:line="240" w:lineRule="auto"/>
        <w:ind w:left="360" w:right="-9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right="-91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Palabras Clave:  Maestría - Dispositivos – Médicos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BSS/cmpm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64.0" w:type="dxa"/>
        <w:jc w:val="left"/>
        <w:tblInd w:w="-115.0" w:type="dxa"/>
        <w:tblLayout w:type="fixed"/>
        <w:tblLook w:val="0400"/>
      </w:tblPr>
      <w:tblGrid>
        <w:gridCol w:w="4361"/>
        <w:gridCol w:w="5103"/>
        <w:tblGridChange w:id="0">
          <w:tblGrid>
            <w:gridCol w:w="4361"/>
            <w:gridCol w:w="5103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ci.  Secretaría del Consejo Institucional</w:t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Vicerrectoría de Administración</w:t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Sede Regional San Carlos</w:t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Centro Académico de San José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Oficina de Planificación Institucional</w:t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Centro Académico de Limón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Máster Jaime Gutiérrez Alfaro, Director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Sede Interuniversitaria Alajuela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Asamblea Institucional Representativa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Tribunal Institucional Electoral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Oficina Asesoría Legal</w:t>
            </w:r>
          </w:p>
          <w:p w:rsidR="00000000" w:rsidDel="00000000" w:rsidP="00000000" w:rsidRDefault="00000000" w:rsidRPr="00000000">
            <w:pPr>
              <w:ind w:firstLine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Auditoría Interna (Notificado a la Secretaria vía correo electrónico)</w:t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Oficina de Comunicación y Mercadeo </w:t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Centro de Archivo y Comunicaciones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FEITEC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2" w:w="12242"/>
      <w:pgMar w:bottom="1135" w:top="1418" w:left="1701" w:right="17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6"/>
      <w:spacing w:after="0" w:before="709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Secretaría Consejo Institucional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Ext. 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  <w:jc w:val="center"/>
    </w:pPr>
    <w:r w:rsidDel="00000000" w:rsidR="00000000" w:rsidRPr="00000000">
      <w:drawing>
        <wp:inline distB="0" distT="0" distL="0" distR="0">
          <wp:extent cx="5384800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3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298" w:firstLine="938.0000000000001"/>
      </w:pPr>
      <w:rPr/>
    </w:lvl>
    <w:lvl w:ilvl="1">
      <w:start w:val="1"/>
      <w:numFmt w:val="lowerLetter"/>
      <w:lvlText w:val="%2."/>
      <w:lvlJc w:val="left"/>
      <w:pPr>
        <w:ind w:left="2018" w:firstLine="1658"/>
      </w:pPr>
      <w:rPr/>
    </w:lvl>
    <w:lvl w:ilvl="2">
      <w:start w:val="1"/>
      <w:numFmt w:val="lowerRoman"/>
      <w:lvlText w:val="%3."/>
      <w:lvlJc w:val="right"/>
      <w:pPr>
        <w:ind w:left="2738" w:firstLine="2558"/>
      </w:pPr>
      <w:rPr/>
    </w:lvl>
    <w:lvl w:ilvl="3">
      <w:start w:val="1"/>
      <w:numFmt w:val="decimal"/>
      <w:lvlText w:val="%4."/>
      <w:lvlJc w:val="left"/>
      <w:pPr>
        <w:ind w:left="3458" w:firstLine="3098"/>
      </w:pPr>
      <w:rPr/>
    </w:lvl>
    <w:lvl w:ilvl="4">
      <w:start w:val="1"/>
      <w:numFmt w:val="lowerLetter"/>
      <w:lvlText w:val="%5."/>
      <w:lvlJc w:val="left"/>
      <w:pPr>
        <w:ind w:left="4178" w:firstLine="3818"/>
      </w:pPr>
      <w:rPr/>
    </w:lvl>
    <w:lvl w:ilvl="5">
      <w:start w:val="1"/>
      <w:numFmt w:val="lowerRoman"/>
      <w:lvlText w:val="%6."/>
      <w:lvlJc w:val="right"/>
      <w:pPr>
        <w:ind w:left="4898" w:firstLine="4718"/>
      </w:pPr>
      <w:rPr/>
    </w:lvl>
    <w:lvl w:ilvl="6">
      <w:start w:val="1"/>
      <w:numFmt w:val="decimal"/>
      <w:lvlText w:val="%7."/>
      <w:lvlJc w:val="left"/>
      <w:pPr>
        <w:ind w:left="5618" w:firstLine="5258"/>
      </w:pPr>
      <w:rPr/>
    </w:lvl>
    <w:lvl w:ilvl="7">
      <w:start w:val="1"/>
      <w:numFmt w:val="lowerLetter"/>
      <w:lvlText w:val="%8."/>
      <w:lvlJc w:val="left"/>
      <w:pPr>
        <w:ind w:left="6338" w:firstLine="5978"/>
      </w:pPr>
      <w:rPr/>
    </w:lvl>
    <w:lvl w:ilvl="8">
      <w:start w:val="1"/>
      <w:numFmt w:val="lowerRoman"/>
      <w:lvlText w:val="%9."/>
      <w:lvlJc w:val="right"/>
      <w:pPr>
        <w:ind w:left="7058" w:firstLine="6878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145" w:firstLine="78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cs="Arial" w:eastAsia="Arial" w:hAnsi="Arial"/>
      </w:rPr>
    </w:lvl>
  </w:abstractNum>
  <w:abstractNum w:abstractNumId="5">
    <w:lvl w:ilvl="0">
      <w:start w:val="4"/>
      <w:numFmt w:val="low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b w:val="1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jc w:val="both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6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