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 </w:t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SCI-575-2014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Comunicación de acuerdo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781.0" w:type="dxa"/>
        <w:jc w:val="left"/>
        <w:tblInd w:w="-6.999999999999993" w:type="dxa"/>
        <w:tblLayout w:type="fixed"/>
        <w:tblLook w:val="0000"/>
      </w:tblPr>
      <w:tblGrid>
        <w:gridCol w:w="1123"/>
        <w:gridCol w:w="11"/>
        <w:gridCol w:w="8647"/>
        <w:tblGridChange w:id="0">
          <w:tblGrid>
            <w:gridCol w:w="1123"/>
            <w:gridCol w:w="11"/>
            <w:gridCol w:w="8647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>
            <w:pPr>
              <w:tabs>
                <w:tab w:val="right" w:pos="2100"/>
                <w:tab w:val="left" w:pos="2694"/>
              </w:tabs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Para:</w:t>
            </w:r>
          </w:p>
        </w:tc>
        <w:tc>
          <w:tcPr/>
          <w:p w:rsidR="00000000" w:rsidDel="00000000" w:rsidP="00000000" w:rsidRDefault="00000000" w:rsidRPr="00000000">
            <w:pPr>
              <w:ind w:left="45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Dr. Julio C. Calvo A, Rector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Ing. Luis Paulino Méndez, Vicerrector de Docencia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Dr. Milton Villarreal, Vicerrector de Investigación y Extensión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Dr. Erick Mata, Director de la Dirección de Posgrado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In. Galina Pridybailo, Directora de la Escuela de Ingeniería de los Materiales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M.Sc. José Andrés Masís B., Director Oficina de Planificación 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 la Educación Superior Consejo Nacional de Rectores (CONARE) 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MAU. Tatiana Fernández, Directora de la Oficina de Planificación Institucional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De: </w:t>
            </w:r>
          </w:p>
        </w:tc>
        <w:tc>
          <w:tcPr/>
          <w:p w:rsidR="00000000" w:rsidDel="00000000" w:rsidP="00000000" w:rsidRDefault="00000000" w:rsidRPr="00000000">
            <w:pPr>
              <w:ind w:left="45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Licda. Bertalía Sánchez Salas, Directora Ejecutiva 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Secretaría del Consejo Institucional</w:t>
            </w:r>
          </w:p>
          <w:p w:rsidR="00000000" w:rsidDel="00000000" w:rsidP="00000000" w:rsidRDefault="00000000" w:rsidRPr="00000000">
            <w:pPr>
              <w:ind w:left="45" w:firstLine="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Instituto Tecnológico de Costa Rica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32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Fecha: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right" w:pos="2410"/>
                <w:tab w:val="left" w:pos="2694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13 de agosto de 2014</w:t>
            </w:r>
          </w:p>
        </w:tc>
      </w:tr>
      <w:tr>
        <w:trPr>
          <w:trHeight w:val="280" w:hRule="atLeast"/>
        </w:trP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Asunto:</w:t>
            </w:r>
          </w:p>
        </w:tc>
        <w:tc>
          <w:tcPr>
            <w:gridSpan w:val="2"/>
          </w:tcPr>
          <w:p w:rsidR="00000000" w:rsidDel="00000000" w:rsidP="00000000" w:rsidRDefault="00000000" w:rsidRPr="00000000">
            <w:pPr>
              <w:ind w:left="45" w:hanging="45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Sesión Ordinaria No. 2880, Artículo 12, del 13 de agosto de 2014.  Programa de Maestría en Ingeniería en Dispositivos Médicos </w:t>
            </w:r>
          </w:p>
          <w:p w:rsidR="00000000" w:rsidDel="00000000" w:rsidP="00000000" w:rsidRDefault="00000000" w:rsidRPr="00000000">
            <w:pPr>
              <w:ind w:left="45" w:hanging="45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los fines correspondientes se transcribe el acuerdo tomado por el Consejo Institucional, citado en la referencia, el cual dice: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440" w:hanging="144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CONSIDERANDO QUE: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425" w:right="284" w:hanging="425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El Estatuto Orgánico del ITCR, establece:</w:t>
      </w:r>
    </w:p>
    <w:p w:rsidR="00000000" w:rsidDel="00000000" w:rsidP="00000000" w:rsidRDefault="00000000" w:rsidRPr="00000000">
      <w:pPr>
        <w:spacing w:after="0" w:before="0" w:line="240" w:lineRule="auto"/>
        <w:ind w:right="284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right="43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“ARTÍCULO 18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right="43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Son funciones del Consejo Institucional: </w:t>
      </w:r>
    </w:p>
    <w:p w:rsidR="00000000" w:rsidDel="00000000" w:rsidP="00000000" w:rsidRDefault="00000000" w:rsidRPr="00000000">
      <w:pPr>
        <w:spacing w:after="0" w:before="0" w:line="240" w:lineRule="auto"/>
        <w:ind w:left="720" w:right="43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…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="240" w:lineRule="auto"/>
        <w:ind w:left="1134" w:right="430" w:hanging="425"/>
        <w:jc w:val="both"/>
        <w:rPr>
          <w:rFonts w:ascii="Arial" w:cs="Arial" w:eastAsia="Arial" w:hAnsi="Arial"/>
          <w:b w:val="0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Decidir, previa consulta al Consejo de Vicerrectoría respectivo, sobre la creación, modificación, traslado, o eliminación de carreras y programas del Instituto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right="43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right="43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ARTÍCULO 34</w:t>
      </w:r>
    </w:p>
    <w:p w:rsidR="00000000" w:rsidDel="00000000" w:rsidP="00000000" w:rsidRDefault="00000000" w:rsidRPr="00000000">
      <w:pPr>
        <w:ind w:left="720" w:right="43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right="43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Son funciones específicas del Vicerrector de Investigación y Extensión:</w:t>
      </w:r>
    </w:p>
    <w:p w:rsidR="00000000" w:rsidDel="00000000" w:rsidP="00000000" w:rsidRDefault="00000000" w:rsidRPr="00000000">
      <w:pPr>
        <w:ind w:left="720" w:right="43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…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080" w:right="430" w:hanging="36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Procurar la eficiencia de las labores de investigación y extensión y velar por su vinculación con la labor docente</w:t>
      </w:r>
    </w:p>
    <w:p w:rsidR="00000000" w:rsidDel="00000000" w:rsidP="00000000" w:rsidRDefault="00000000" w:rsidRPr="00000000">
      <w:pPr>
        <w:ind w:left="720" w:right="43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…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right="43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Artículo 49 </w:t>
      </w:r>
    </w:p>
    <w:p w:rsidR="00000000" w:rsidDel="00000000" w:rsidP="00000000" w:rsidRDefault="00000000" w:rsidRPr="00000000">
      <w:pPr>
        <w:spacing w:after="0" w:before="0" w:line="240" w:lineRule="auto"/>
        <w:ind w:left="720" w:right="43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Definición de área académica</w:t>
      </w:r>
    </w:p>
    <w:p w:rsidR="00000000" w:rsidDel="00000000" w:rsidP="00000000" w:rsidRDefault="00000000" w:rsidRPr="00000000">
      <w:pPr>
        <w:ind w:right="-40"/>
        <w:contextualSpacing w:val="0"/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COMUNICACIÓN DE ACUERDO </w:t>
      </w:r>
    </w:p>
    <w:p w:rsidR="00000000" w:rsidDel="00000000" w:rsidP="00000000" w:rsidRDefault="00000000" w:rsidRPr="00000000">
      <w:pPr>
        <w:ind w:right="584"/>
        <w:contextualSpacing w:val="0"/>
        <w:jc w:val="both"/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Sesión Ordinaria No. 2880, Artículo 12, del 13 de agosto  de 2014</w:t>
      </w:r>
    </w:p>
    <w:p w:rsidR="00000000" w:rsidDel="00000000" w:rsidP="00000000" w:rsidRDefault="00000000" w:rsidRPr="00000000">
      <w:pPr>
        <w:tabs>
          <w:tab w:val="center" w:pos="4252"/>
          <w:tab w:val="right" w:pos="8504"/>
        </w:tabs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i w:val="1"/>
          <w:sz w:val="18"/>
          <w:szCs w:val="18"/>
          <w:rtl w:val="0"/>
        </w:rPr>
        <w:t xml:space="preserve">Página </w:t>
      </w:r>
    </w:p>
    <w:p w:rsidR="00000000" w:rsidDel="00000000" w:rsidP="00000000" w:rsidRDefault="00000000" w:rsidRPr="00000000">
      <w:pPr>
        <w:spacing w:after="0" w:before="0" w:line="240" w:lineRule="auto"/>
        <w:ind w:right="43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56" w:right="43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Un área académica es estructuralmente una unidad, adscrita a una Vicerrectoría académica, una Sede Regional o a la Dirección de Posgrado, en la cual participan dos o más escuelas con el fin de desarrollar programas académicos de docencia o programas consolidados de investigación y/o extensión, de carácter inter, trans y/o multidisciplinario. Estará a cargo de un coordinador.</w:t>
      </w:r>
    </w:p>
    <w:p w:rsidR="00000000" w:rsidDel="00000000" w:rsidP="00000000" w:rsidRDefault="00000000" w:rsidRPr="00000000">
      <w:pPr>
        <w:spacing w:after="0" w:before="0" w:line="240" w:lineRule="auto"/>
        <w:ind w:left="1106" w:right="430" w:hanging="385.99999999999994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right="43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Artículo 70 </w:t>
      </w:r>
    </w:p>
    <w:p w:rsidR="00000000" w:rsidDel="00000000" w:rsidP="00000000" w:rsidRDefault="00000000" w:rsidRPr="00000000">
      <w:pPr>
        <w:spacing w:after="0" w:before="0" w:line="240" w:lineRule="auto"/>
        <w:ind w:left="756" w:right="43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La Vicerrectoría de Investigación y Extensión contará con una Dirección de Proyectos, una Dirección de Cooperación y una Dirección de Posgrados; las que estarán a cargo de sendos directores, quienes serán nombrados por el Rector a propuesta del Vicerrector de Investigación y Extensión. Cesarán en sus cargos cuando el Vicerrector cese en el suyo o cuando así lo acuerde el Rector, a solicitud del Vicerrector. Las funciones específicas de estas direcciones se establecerán en un Reglamento dictado por el Consejo Institucional a propuesta del Consejo de Investigación y Extensión.</w:t>
      </w:r>
    </w:p>
    <w:p w:rsidR="00000000" w:rsidDel="00000000" w:rsidP="00000000" w:rsidRDefault="00000000" w:rsidRPr="00000000">
      <w:pPr>
        <w:spacing w:after="0" w:before="0" w:line="240" w:lineRule="auto"/>
        <w:ind w:left="720" w:right="43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720" w:right="43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Artículo 112 </w:t>
      </w:r>
    </w:p>
    <w:p w:rsidR="00000000" w:rsidDel="00000000" w:rsidP="00000000" w:rsidRDefault="00000000" w:rsidRPr="00000000">
      <w:pPr>
        <w:spacing w:after="0" w:before="0" w:line="240" w:lineRule="auto"/>
        <w:ind w:left="756" w:right="43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Los planes de estudio de las carreras serán elaborados por los departamentos encargados de ejecutarlos, y serán aprobados en primera instancia por el Consejo de Docencia o Consejo de Posgrado, según corresponda. La iniciativa para la elaboración o modificación de un plan de estudio deberá provenir de las unidades académicas respectivas o de los órganos superiores del Instituto. Lo anterior se regirá por los reglamentos correspondientes.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425" w:right="284" w:hanging="425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Las Políticas Generales, Eje Temático: Docencia, Punto 1.1.  establece: </w:t>
      </w:r>
    </w:p>
    <w:p w:rsidR="00000000" w:rsidDel="00000000" w:rsidP="00000000" w:rsidRDefault="00000000" w:rsidRPr="00000000">
      <w:pPr>
        <w:spacing w:after="0" w:before="0" w:line="240" w:lineRule="auto"/>
        <w:ind w:left="295" w:right="43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851" w:right="43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“S</w:t>
      </w: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e desarrollarán programas académicos de excelencia en las áreas de ciencia y tecnología, procurando ampliar las posibilidades de acceso, la eficiencia y eficacia de los servicios y programas hacia la población estudiantil acordes con los ejes de conocimiento estratégicos.”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425" w:right="284" w:hanging="425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El Artículo 20 del Reglamento del Consejo Institucional, prescribe:</w:t>
      </w:r>
    </w:p>
    <w:p w:rsidR="00000000" w:rsidDel="00000000" w:rsidP="00000000" w:rsidRDefault="00000000" w:rsidRPr="00000000">
      <w:pPr>
        <w:spacing w:after="0" w:before="0" w:line="240" w:lineRule="auto"/>
        <w:ind w:left="708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938" w:right="43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“Son asuntos propios del análisis y dictamen de la Comisión de Asuntos Académicos y Estudiantiles, según su competencia: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40" w:lineRule="auto"/>
        <w:ind w:left="1298" w:right="430" w:hanging="360"/>
        <w:jc w:val="both"/>
        <w:rPr>
          <w:rFonts w:ascii="Arial" w:cs="Arial" w:eastAsia="Arial" w:hAnsi="Arial"/>
          <w:b w:val="0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Las propuestas de creación, modificación, traslado o eliminación de cualquier instancia, carreras y programas académicos.</w:t>
      </w:r>
    </w:p>
    <w:p w:rsidR="00000000" w:rsidDel="00000000" w:rsidP="00000000" w:rsidRDefault="00000000" w:rsidRPr="00000000">
      <w:pPr>
        <w:ind w:left="1276" w:firstLine="0"/>
        <w:contextualSpacing w:val="0"/>
      </w:pPr>
      <w:r w:rsidDel="00000000" w:rsidR="00000000" w:rsidRPr="00000000">
        <w:rPr>
          <w:rtl w:val="0"/>
        </w:rPr>
        <w:t xml:space="preserve">…”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425" w:right="284" w:hanging="425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El Reglamento de Creación, Modificación o Eliminación de Unidades, en el Artículo 10, establece: </w:t>
      </w:r>
    </w:p>
    <w:p w:rsidR="00000000" w:rsidDel="00000000" w:rsidP="00000000" w:rsidRDefault="00000000" w:rsidRPr="00000000">
      <w:pPr>
        <w:spacing w:after="0" w:before="0" w:line="240" w:lineRule="auto"/>
        <w:ind w:right="284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1200" w:right="616" w:hanging="349.00000000000006"/>
        <w:contextualSpacing w:val="0"/>
        <w:jc w:val="both"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“Artículo 10. </w:t>
      </w:r>
    </w:p>
    <w:p w:rsidR="00000000" w:rsidDel="00000000" w:rsidP="00000000" w:rsidRDefault="00000000" w:rsidRPr="00000000">
      <w:pPr>
        <w:ind w:left="1200" w:right="616" w:hanging="349.0000000000000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851" w:right="616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 creación de unidades en Departamentos Académicos o Escuelas será automática, según conveniencia institucional y recomendación técnica, cuando el Consejo Institucional apruebe:</w:t>
      </w:r>
    </w:p>
    <w:p w:rsidR="00000000" w:rsidDel="00000000" w:rsidP="00000000" w:rsidRDefault="00000000" w:rsidRPr="00000000">
      <w:pPr>
        <w:ind w:right="61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40"/>
        <w:contextualSpacing w:val="0"/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COMUNICACIÓN DE ACUERDO </w:t>
      </w:r>
    </w:p>
    <w:p w:rsidR="00000000" w:rsidDel="00000000" w:rsidP="00000000" w:rsidRDefault="00000000" w:rsidRPr="00000000">
      <w:pPr>
        <w:ind w:right="584"/>
        <w:contextualSpacing w:val="0"/>
        <w:jc w:val="both"/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Sesión Ordinaria No. 2880, Artículo 12, del 13 de agosto  de 2014</w:t>
      </w:r>
    </w:p>
    <w:p w:rsidR="00000000" w:rsidDel="00000000" w:rsidP="00000000" w:rsidRDefault="00000000" w:rsidRPr="00000000">
      <w:pPr>
        <w:tabs>
          <w:tab w:val="center" w:pos="4252"/>
          <w:tab w:val="right" w:pos="8504"/>
        </w:tabs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i w:val="1"/>
          <w:sz w:val="18"/>
          <w:szCs w:val="18"/>
          <w:rtl w:val="0"/>
        </w:rPr>
        <w:t xml:space="preserve">Página 3</w:t>
      </w:r>
    </w:p>
    <w:p w:rsidR="00000000" w:rsidDel="00000000" w:rsidP="00000000" w:rsidRDefault="00000000" w:rsidRPr="00000000">
      <w:pPr>
        <w:ind w:right="61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61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tabs>
          <w:tab w:val="left" w:pos="851"/>
        </w:tabs>
        <w:spacing w:after="0" w:before="0" w:line="240" w:lineRule="auto"/>
        <w:ind w:left="1134" w:right="616" w:hanging="283"/>
        <w:jc w:val="both"/>
        <w:rPr>
          <w:rFonts w:ascii="Arial" w:cs="Arial" w:eastAsia="Arial" w:hAnsi="Arial"/>
          <w:b w:val="0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Una nueva carrera dentro de un Departamento Académico o Escuela</w:t>
      </w:r>
    </w:p>
    <w:p w:rsidR="00000000" w:rsidDel="00000000" w:rsidP="00000000" w:rsidRDefault="00000000" w:rsidRPr="00000000">
      <w:pPr>
        <w:numPr>
          <w:ilvl w:val="0"/>
          <w:numId w:val="7"/>
        </w:numPr>
        <w:tabs>
          <w:tab w:val="left" w:pos="851"/>
        </w:tabs>
        <w:spacing w:after="0" w:before="0" w:line="240" w:lineRule="auto"/>
        <w:ind w:left="1134" w:right="616" w:hanging="283"/>
        <w:jc w:val="both"/>
        <w:rPr>
          <w:rFonts w:ascii="Arial" w:cs="Arial" w:eastAsia="Arial" w:hAnsi="Arial"/>
          <w:b w:val="0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Un énfasis adicional al impartido en un Departamento Académico o  Escuela</w:t>
      </w:r>
    </w:p>
    <w:p w:rsidR="00000000" w:rsidDel="00000000" w:rsidP="00000000" w:rsidRDefault="00000000" w:rsidRPr="00000000">
      <w:pPr>
        <w:numPr>
          <w:ilvl w:val="0"/>
          <w:numId w:val="7"/>
        </w:numPr>
        <w:tabs>
          <w:tab w:val="left" w:pos="851"/>
        </w:tabs>
        <w:spacing w:after="0" w:before="0" w:line="240" w:lineRule="auto"/>
        <w:ind w:left="1134" w:right="616" w:hanging="283"/>
        <w:jc w:val="both"/>
        <w:rPr>
          <w:rFonts w:ascii="Arial" w:cs="Arial" w:eastAsia="Arial" w:hAnsi="Arial"/>
          <w:b w:val="0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Un grado de Diplomado, Licenciatura, Maestría o Doctorado dentro de un Departamento Académico o Escuela”</w:t>
      </w:r>
    </w:p>
    <w:p w:rsidR="00000000" w:rsidDel="00000000" w:rsidP="00000000" w:rsidRDefault="00000000" w:rsidRPr="00000000">
      <w:pPr>
        <w:tabs>
          <w:tab w:val="left" w:pos="851"/>
        </w:tabs>
        <w:ind w:right="61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350" w:right="191" w:hanging="425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La Comisión de Asuntos Académicos y Estudiantiles en la reunión No. 429-2014, realizada el viernes 23 de mayo de 2014, recibió al MSc. Ricardo Esquivel y el MSc. José Luis León,  de la Escuela de Ingeniería de los Materiales  y al MSc. William Delgado, del CEDA, quienes expusieron ampliamente sobre los avances de la Propuesta del Programa de Maestría en Dispositivos Médicos.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right="284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336" w:right="284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Los integrantes de la Comisión externan las observaciones y recomendaciones a la propuesta, asimismo, les felicitan por el excelente trabajo, resaltando que es un tema muy pertinente para el TEC, apegado a la Ley Constitutiva del ITCR que dicta sobre la competencia en ingeniería y ciencia conexas.</w:t>
      </w:r>
    </w:p>
    <w:p w:rsidR="00000000" w:rsidDel="00000000" w:rsidP="00000000" w:rsidRDefault="00000000" w:rsidRPr="00000000">
      <w:pPr>
        <w:tabs>
          <w:tab w:val="left" w:pos="851"/>
        </w:tabs>
        <w:ind w:right="616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350" w:right="191" w:hanging="425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La Secretaría del Consejo Institucional recibe el oficio VIE-528-2014, con fecha de recibido 05 de agosto de 2014, suscrito por el Dr. Milton Villarreal, Vicerrector de Investigación y Extensión, dirigido al Dr. Julio Calvo A., Presidente del Consejo Institucional, con copia la Ing. Jorge Chaves, Coordinador de la Comisión de Asuntos Académicos y Estudiantiles, en el cual remite la propuesta para la  aprobación del Programa de Maestría en Dispositivos Médicos, para análisis por parte del Consejo Institucional. (Ver Anexo 1).</w:t>
      </w:r>
    </w:p>
    <w:p w:rsidR="00000000" w:rsidDel="00000000" w:rsidP="00000000" w:rsidRDefault="00000000" w:rsidRPr="00000000">
      <w:pPr>
        <w:spacing w:after="0" w:before="0" w:line="240" w:lineRule="auto"/>
        <w:ind w:right="284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right="284" w:firstLine="42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right="284" w:firstLine="425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En el mismo oficio adjunta los siguientes documentos:</w:t>
      </w:r>
    </w:p>
    <w:p w:rsidR="00000000" w:rsidDel="00000000" w:rsidP="00000000" w:rsidRDefault="00000000" w:rsidRPr="00000000">
      <w:pPr>
        <w:spacing w:after="0" w:before="0" w:line="240" w:lineRule="auto"/>
        <w:ind w:right="284" w:firstLine="42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120" w:line="240" w:lineRule="auto"/>
        <w:ind w:left="765" w:right="284" w:hanging="35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VIE-DP-050-2014, con fecha 39 de julio de 2014, suscrito por el Dr. Erick Mata, Presidente del Consejo de Posgrado, remitido al Dr. Milton Villarreal, Vicerrector de Investigación y Extensión, en el cual transcribe el acuerdo tomado por el Consejo de Posgrado (Sesión Extraordinaria DP-09-2014, del 30 de julio de 2014), sobre el aval a la Propuesta del Programa Maestría en Dispositivos Médicos. (Ver Anexo 2).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240" w:line="240" w:lineRule="auto"/>
        <w:ind w:left="765" w:right="284" w:hanging="357"/>
        <w:jc w:val="both"/>
        <w:rPr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CEDA-163-2014, con fecha 19 de junio, 2014, suscrito por el M.A. Ulises Rodríguez, Director del Centro de Desarrollo Académico, en el cual adjunta Dictamen técnico-curricular sobre  la  propuesta  del Plan de estudios  del  Programa Maestría en Dispositivos Médicos. (Ver Anexo 3).</w:t>
      </w:r>
    </w:p>
    <w:p w:rsidR="00000000" w:rsidDel="00000000" w:rsidP="00000000" w:rsidRDefault="00000000" w:rsidRPr="00000000">
      <w:pPr>
        <w:spacing w:after="0" w:before="0" w:line="240" w:lineRule="auto"/>
        <w:ind w:right="284" w:firstLine="425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4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40"/>
        <w:contextualSpacing w:val="0"/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COMUNICACIÓN DE ACUERDO </w:t>
      </w:r>
    </w:p>
    <w:p w:rsidR="00000000" w:rsidDel="00000000" w:rsidP="00000000" w:rsidRDefault="00000000" w:rsidRPr="00000000">
      <w:pPr>
        <w:ind w:right="584"/>
        <w:contextualSpacing w:val="0"/>
        <w:jc w:val="both"/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Sesión Ordinaria No. 2880, Artículo 12, del 13 de agosto  de 2014</w:t>
      </w:r>
    </w:p>
    <w:p w:rsidR="00000000" w:rsidDel="00000000" w:rsidP="00000000" w:rsidRDefault="00000000" w:rsidRPr="00000000">
      <w:pPr>
        <w:tabs>
          <w:tab w:val="center" w:pos="4252"/>
          <w:tab w:val="right" w:pos="8504"/>
        </w:tabs>
        <w:spacing w:after="0" w:before="0" w:line="240" w:lineRule="auto"/>
        <w:contextualSpacing w:val="0"/>
      </w:pPr>
      <w:r w:rsidDel="00000000" w:rsidR="00000000" w:rsidRPr="00000000">
        <w:rPr>
          <w:rFonts w:ascii="Arial" w:cs="Arial" w:eastAsia="Arial" w:hAnsi="Arial"/>
          <w:b w:val="0"/>
          <w:i w:val="1"/>
          <w:sz w:val="18"/>
          <w:szCs w:val="18"/>
          <w:rtl w:val="0"/>
        </w:rPr>
        <w:t xml:space="preserve">Página 4</w:t>
      </w:r>
    </w:p>
    <w:p w:rsidR="00000000" w:rsidDel="00000000" w:rsidP="00000000" w:rsidRDefault="00000000" w:rsidRPr="00000000">
      <w:pPr>
        <w:spacing w:after="0" w:before="0" w:line="240" w:lineRule="auto"/>
        <w:ind w:right="284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425" w:right="284" w:hanging="425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La Comisión de Asuntos Académicos y Estudiantiles en la reunión No. 436-2014, realizada el viernes 08 de agosto de 2014, analizó la propuesta para la  aprobación del Programa Maestría en Dispositivos Médicos remitida por la Vicerrectoría de Investigación y Extensión y dispuso avalarla y elevarla al pleno para su conocimiento y aprobación.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ind w:left="0" w:firstLine="0"/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 ACUERDA:</w:t>
      </w:r>
    </w:p>
    <w:p w:rsidR="00000000" w:rsidDel="00000000" w:rsidP="00000000" w:rsidRDefault="00000000" w:rsidRPr="00000000">
      <w:pPr>
        <w:spacing w:after="0" w:before="0" w:line="240" w:lineRule="auto"/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360" w:right="-91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Aprobar el Programa de Maestría en Dispositivos Médicos, remitido por la Vicerrectoría de Investigación y Extensión, según el documento adjunto.</w:t>
      </w:r>
    </w:p>
    <w:p w:rsidR="00000000" w:rsidDel="00000000" w:rsidP="00000000" w:rsidRDefault="00000000" w:rsidRPr="00000000">
      <w:pPr>
        <w:spacing w:after="0" w:before="0" w:line="240" w:lineRule="auto"/>
        <w:ind w:left="360" w:right="-9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360" w:right="-91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Remitir el documento de la  Maestría en Dispositivos Médicos, al Consejo Nacional de Rectores, para su aprobación.</w:t>
      </w:r>
    </w:p>
    <w:p w:rsidR="00000000" w:rsidDel="00000000" w:rsidP="00000000" w:rsidRDefault="00000000" w:rsidRPr="00000000">
      <w:pPr>
        <w:spacing w:after="0" w:before="0" w:line="240" w:lineRule="auto"/>
        <w:ind w:left="360" w:right="-91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360" w:right="-91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Comunicar.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ACUERDO FIRME.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Palabras Clave:  Maestría - Dispositivos – Médicos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BSS/cmpm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464.0" w:type="dxa"/>
        <w:jc w:val="left"/>
        <w:tblInd w:w="-115.0" w:type="dxa"/>
        <w:tblLayout w:type="fixed"/>
        <w:tblLook w:val="0400"/>
      </w:tblPr>
      <w:tblGrid>
        <w:gridCol w:w="4361"/>
        <w:gridCol w:w="5103"/>
        <w:tblGridChange w:id="0">
          <w:tblGrid>
            <w:gridCol w:w="4361"/>
            <w:gridCol w:w="5103"/>
          </w:tblGrid>
        </w:tblGridChange>
      </w:tblGrid>
      <w:tr>
        <w:trPr>
          <w:trHeight w:val="180" w:hRule="atLeast"/>
        </w:trPr>
        <w:tc>
          <w:tcPr/>
          <w:p w:rsidR="00000000" w:rsidDel="00000000" w:rsidP="00000000" w:rsidRDefault="00000000" w:rsidRPr="00000000">
            <w:pPr>
              <w:ind w:left="-567" w:firstLine="567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ci.  Secretaría del Consejo Institucional</w:t>
            </w:r>
          </w:p>
          <w:p w:rsidR="00000000" w:rsidDel="00000000" w:rsidP="00000000" w:rsidRDefault="00000000" w:rsidRPr="00000000">
            <w:pPr>
              <w:ind w:left="-567" w:firstLine="567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Vicerrectoría de Administración</w:t>
            </w:r>
          </w:p>
          <w:p w:rsidR="00000000" w:rsidDel="00000000" w:rsidP="00000000" w:rsidRDefault="00000000" w:rsidRPr="00000000">
            <w:pPr>
              <w:ind w:left="-567" w:firstLine="567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Sede Regional San Carlos</w:t>
            </w:r>
          </w:p>
          <w:p w:rsidR="00000000" w:rsidDel="00000000" w:rsidP="00000000" w:rsidRDefault="00000000" w:rsidRPr="00000000">
            <w:pPr>
              <w:ind w:left="-567" w:firstLine="567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Centro Académico de San José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Oficina de Planificación Institucional</w:t>
            </w:r>
          </w:p>
          <w:p w:rsidR="00000000" w:rsidDel="00000000" w:rsidP="00000000" w:rsidRDefault="00000000" w:rsidRPr="00000000">
            <w:pPr>
              <w:ind w:left="-567" w:firstLine="567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Centro Académico de Limón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Máster Jaime Gutiérrez Alfaro, Director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Sede Interuniversitaria Alajuela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Asamblea Institucional Representativa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Tribunal Institucional Electoral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Oficina Asesoría Legal</w:t>
            </w:r>
          </w:p>
          <w:p w:rsidR="00000000" w:rsidDel="00000000" w:rsidP="00000000" w:rsidRDefault="00000000" w:rsidRPr="00000000">
            <w:pPr>
              <w:ind w:firstLine="34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Auditoría Interna (Notificado a la Secretaria vía correo electrónico)</w:t>
            </w:r>
          </w:p>
          <w:p w:rsidR="00000000" w:rsidDel="00000000" w:rsidP="00000000" w:rsidRDefault="00000000" w:rsidRPr="00000000">
            <w:pPr>
              <w:ind w:left="720" w:hanging="72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Oficina de Comunicación y Mercadeo </w:t>
            </w:r>
          </w:p>
          <w:p w:rsidR="00000000" w:rsidDel="00000000" w:rsidP="00000000" w:rsidRDefault="00000000" w:rsidRPr="00000000">
            <w:pPr>
              <w:ind w:left="720" w:hanging="720"/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Centro de Archivo y Comunicaciones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FEITEC</w:t>
            </w:r>
          </w:p>
          <w:p w:rsidR="00000000" w:rsidDel="00000000" w:rsidP="00000000" w:rsidRDefault="00000000" w:rsidRPr="00000000">
            <w:pPr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2" w:w="12242"/>
      <w:pgMar w:bottom="1135" w:top="1418" w:left="1701" w:right="17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Cambria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252"/>
        <w:tab w:val="right" w:pos="8504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252"/>
        <w:tab w:val="right" w:pos="8504"/>
      </w:tabs>
      <w:spacing w:after="709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Style w:val="Heading6"/>
      <w:spacing w:after="0" w:before="709" w:lineRule="auto"/>
      <w:contextualSpacing w:val="0"/>
      <w:jc w:val="right"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Instituto Tecnológico de Costa Rica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left" w:pos="5954"/>
      </w:tabs>
      <w:contextualSpacing w:val="0"/>
      <w:jc w:val="right"/>
    </w:pPr>
    <w:r w:rsidDel="00000000" w:rsidR="00000000" w:rsidRPr="00000000">
      <w:rPr>
        <w:rFonts w:ascii="Arial" w:cs="Arial" w:eastAsia="Arial" w:hAnsi="Arial"/>
        <w:b w:val="1"/>
        <w:i w:val="1"/>
        <w:sz w:val="18"/>
        <w:szCs w:val="18"/>
        <w:rtl w:val="0"/>
      </w:rPr>
      <w:t xml:space="preserve">Secretaría Consejo Institucional</w:t>
    </w:r>
  </w:p>
  <w:p w:rsidR="00000000" w:rsidDel="00000000" w:rsidP="00000000" w:rsidRDefault="00000000" w:rsidRPr="00000000">
    <w:pPr>
      <w:tabs>
        <w:tab w:val="left" w:pos="5954"/>
      </w:tabs>
      <w:contextualSpacing w:val="0"/>
      <w:jc w:val="right"/>
    </w:pPr>
    <w:r w:rsidDel="00000000" w:rsidR="00000000" w:rsidRPr="00000000">
      <w:rPr>
        <w:rFonts w:ascii="Arial" w:cs="Arial" w:eastAsia="Arial" w:hAnsi="Arial"/>
        <w:b w:val="1"/>
        <w:i w:val="1"/>
        <w:sz w:val="18"/>
        <w:szCs w:val="18"/>
        <w:rtl w:val="0"/>
      </w:rPr>
      <w:t xml:space="preserve">Ext.  2716-2239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252"/>
        <w:tab w:val="right" w:pos="8504"/>
      </w:tabs>
      <w:spacing w:after="0" w:before="0" w:line="240" w:lineRule="auto"/>
      <w:ind w:right="-374"/>
      <w:contextualSpacing w:val="0"/>
      <w:jc w:val="center"/>
    </w:pPr>
    <w:r w:rsidDel="00000000" w:rsidR="00000000" w:rsidRPr="00000000">
      <w:drawing>
        <wp:inline distB="0" distT="0" distL="0" distR="0">
          <wp:extent cx="5384800" cy="152400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84800" cy="152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252"/>
        <w:tab w:val="right" w:pos="8504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360" w:firstLine="0"/>
      </w:pPr>
      <w:rPr>
        <w:rFonts w:ascii="Arial" w:cs="Arial" w:eastAsia="Arial" w:hAnsi="Arial"/>
        <w:b w:val="1"/>
        <w:i w:val="0"/>
      </w:rPr>
    </w:lvl>
    <w:lvl w:ilvl="1">
      <w:start w:val="1"/>
      <w:numFmt w:val="lowerLetter"/>
      <w:lvlText w:val="%2."/>
      <w:lvlJc w:val="left"/>
      <w:pPr>
        <w:ind w:left="1080" w:firstLine="720"/>
      </w:pPr>
      <w:rPr/>
    </w:lvl>
    <w:lvl w:ilvl="2">
      <w:start w:val="1"/>
      <w:numFmt w:val="lowerRoman"/>
      <w:lvlText w:val="%3."/>
      <w:lvlJc w:val="right"/>
      <w:pPr>
        <w:ind w:left="1800" w:firstLine="1620"/>
      </w:pPr>
      <w:rPr/>
    </w:lvl>
    <w:lvl w:ilvl="3">
      <w:start w:val="1"/>
      <w:numFmt w:val="decimal"/>
      <w:lvlText w:val="%4."/>
      <w:lvlJc w:val="left"/>
      <w:pPr>
        <w:ind w:left="2520" w:firstLine="2160"/>
      </w:pPr>
      <w:rPr/>
    </w:lvl>
    <w:lvl w:ilvl="4">
      <w:start w:val="1"/>
      <w:numFmt w:val="lowerLetter"/>
      <w:lvlText w:val="%5."/>
      <w:lvlJc w:val="left"/>
      <w:pPr>
        <w:ind w:left="3240" w:firstLine="2880"/>
      </w:pPr>
      <w:rPr/>
    </w:lvl>
    <w:lvl w:ilvl="5">
      <w:start w:val="1"/>
      <w:numFmt w:val="lowerRoman"/>
      <w:lvlText w:val="%6."/>
      <w:lvlJc w:val="right"/>
      <w:pPr>
        <w:ind w:left="3960" w:firstLine="3780"/>
      </w:pPr>
      <w:rPr/>
    </w:lvl>
    <w:lvl w:ilvl="6">
      <w:start w:val="1"/>
      <w:numFmt w:val="decimal"/>
      <w:lvlText w:val="%7."/>
      <w:lvlJc w:val="left"/>
      <w:pPr>
        <w:ind w:left="4680" w:firstLine="4320"/>
      </w:pPr>
      <w:rPr/>
    </w:lvl>
    <w:lvl w:ilvl="7">
      <w:start w:val="1"/>
      <w:numFmt w:val="lowerLetter"/>
      <w:lvlText w:val="%8."/>
      <w:lvlJc w:val="left"/>
      <w:pPr>
        <w:ind w:left="5400" w:firstLine="5040"/>
      </w:pPr>
      <w:rPr/>
    </w:lvl>
    <w:lvl w:ilvl="8">
      <w:start w:val="1"/>
      <w:numFmt w:val="lowerRoman"/>
      <w:lvlText w:val="%9."/>
      <w:lvlJc w:val="right"/>
      <w:pPr>
        <w:ind w:left="6120" w:firstLine="5940"/>
      </w:pPr>
      <w:rPr/>
    </w:lvl>
  </w:abstractNum>
  <w:abstractNum w:abstractNumId="2">
    <w:lvl w:ilvl="0">
      <w:start w:val="3"/>
      <w:numFmt w:val="lowerLetter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298" w:firstLine="938.0000000000001"/>
      </w:pPr>
      <w:rPr/>
    </w:lvl>
    <w:lvl w:ilvl="1">
      <w:start w:val="1"/>
      <w:numFmt w:val="lowerLetter"/>
      <w:lvlText w:val="%2."/>
      <w:lvlJc w:val="left"/>
      <w:pPr>
        <w:ind w:left="2018" w:firstLine="1658"/>
      </w:pPr>
      <w:rPr/>
    </w:lvl>
    <w:lvl w:ilvl="2">
      <w:start w:val="1"/>
      <w:numFmt w:val="lowerRoman"/>
      <w:lvlText w:val="%3."/>
      <w:lvlJc w:val="right"/>
      <w:pPr>
        <w:ind w:left="2738" w:firstLine="2558"/>
      </w:pPr>
      <w:rPr/>
    </w:lvl>
    <w:lvl w:ilvl="3">
      <w:start w:val="1"/>
      <w:numFmt w:val="decimal"/>
      <w:lvlText w:val="%4."/>
      <w:lvlJc w:val="left"/>
      <w:pPr>
        <w:ind w:left="3458" w:firstLine="3098"/>
      </w:pPr>
      <w:rPr/>
    </w:lvl>
    <w:lvl w:ilvl="4">
      <w:start w:val="1"/>
      <w:numFmt w:val="lowerLetter"/>
      <w:lvlText w:val="%5."/>
      <w:lvlJc w:val="left"/>
      <w:pPr>
        <w:ind w:left="4178" w:firstLine="3818"/>
      </w:pPr>
      <w:rPr/>
    </w:lvl>
    <w:lvl w:ilvl="5">
      <w:start w:val="1"/>
      <w:numFmt w:val="lowerRoman"/>
      <w:lvlText w:val="%6."/>
      <w:lvlJc w:val="right"/>
      <w:pPr>
        <w:ind w:left="4898" w:firstLine="4718"/>
      </w:pPr>
      <w:rPr/>
    </w:lvl>
    <w:lvl w:ilvl="6">
      <w:start w:val="1"/>
      <w:numFmt w:val="decimal"/>
      <w:lvlText w:val="%7."/>
      <w:lvlJc w:val="left"/>
      <w:pPr>
        <w:ind w:left="5618" w:firstLine="5258"/>
      </w:pPr>
      <w:rPr/>
    </w:lvl>
    <w:lvl w:ilvl="7">
      <w:start w:val="1"/>
      <w:numFmt w:val="lowerLetter"/>
      <w:lvlText w:val="%8."/>
      <w:lvlJc w:val="left"/>
      <w:pPr>
        <w:ind w:left="6338" w:firstLine="5978"/>
      </w:pPr>
      <w:rPr/>
    </w:lvl>
    <w:lvl w:ilvl="8">
      <w:start w:val="1"/>
      <w:numFmt w:val="lowerRoman"/>
      <w:lvlText w:val="%9."/>
      <w:lvlJc w:val="right"/>
      <w:pPr>
        <w:ind w:left="7058" w:firstLine="6878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1145" w:firstLine="785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865" w:firstLine="1505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585" w:firstLine="2225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305" w:firstLine="2945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025" w:firstLine="3665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745" w:firstLine="4385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465" w:firstLine="5105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185" w:firstLine="5825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905" w:firstLine="6545"/>
      </w:pPr>
      <w:rPr>
        <w:rFonts w:ascii="Arial" w:cs="Arial" w:eastAsia="Arial" w:hAnsi="Arial"/>
      </w:rPr>
    </w:lvl>
  </w:abstractNum>
  <w:abstractNum w:abstractNumId="5">
    <w:lvl w:ilvl="0">
      <w:start w:val="4"/>
      <w:numFmt w:val="lowerLetter"/>
      <w:lvlText w:val="%1."/>
      <w:lvlJc w:val="left"/>
      <w:pPr>
        <w:ind w:left="360" w:firstLine="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6">
    <w:lvl w:ilvl="0">
      <w:start w:val="1"/>
      <w:numFmt w:val="lowerLetter"/>
      <w:lvlText w:val="%1."/>
      <w:lvlJc w:val="left"/>
      <w:pPr>
        <w:ind w:left="720" w:firstLine="360"/>
      </w:pPr>
      <w:rPr>
        <w:b w:val="1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1068" w:firstLine="708"/>
      </w:pPr>
      <w:rPr/>
    </w:lvl>
    <w:lvl w:ilvl="1">
      <w:start w:val="1"/>
      <w:numFmt w:val="lowerLetter"/>
      <w:lvlText w:val="%2."/>
      <w:lvlJc w:val="left"/>
      <w:pPr>
        <w:ind w:left="1788" w:firstLine="1428"/>
      </w:pPr>
      <w:rPr/>
    </w:lvl>
    <w:lvl w:ilvl="2">
      <w:start w:val="1"/>
      <w:numFmt w:val="lowerRoman"/>
      <w:lvlText w:val="%3."/>
      <w:lvlJc w:val="right"/>
      <w:pPr>
        <w:ind w:left="2508" w:firstLine="2328"/>
      </w:pPr>
      <w:rPr/>
    </w:lvl>
    <w:lvl w:ilvl="3">
      <w:start w:val="1"/>
      <w:numFmt w:val="decimal"/>
      <w:lvlText w:val="%4."/>
      <w:lvlJc w:val="left"/>
      <w:pPr>
        <w:ind w:left="3228" w:firstLine="2868"/>
      </w:pPr>
      <w:rPr/>
    </w:lvl>
    <w:lvl w:ilvl="4">
      <w:start w:val="1"/>
      <w:numFmt w:val="lowerLetter"/>
      <w:lvlText w:val="%5."/>
      <w:lvlJc w:val="left"/>
      <w:pPr>
        <w:ind w:left="3948" w:firstLine="3588"/>
      </w:pPr>
      <w:rPr/>
    </w:lvl>
    <w:lvl w:ilvl="5">
      <w:start w:val="1"/>
      <w:numFmt w:val="lowerRoman"/>
      <w:lvlText w:val="%6."/>
      <w:lvlJc w:val="right"/>
      <w:pPr>
        <w:ind w:left="4668" w:firstLine="4488"/>
      </w:pPr>
      <w:rPr/>
    </w:lvl>
    <w:lvl w:ilvl="6">
      <w:start w:val="1"/>
      <w:numFmt w:val="decimal"/>
      <w:lvlText w:val="%7."/>
      <w:lvlJc w:val="left"/>
      <w:pPr>
        <w:ind w:left="5388" w:firstLine="5028"/>
      </w:pPr>
      <w:rPr/>
    </w:lvl>
    <w:lvl w:ilvl="7">
      <w:start w:val="1"/>
      <w:numFmt w:val="lowerLetter"/>
      <w:lvlText w:val="%8."/>
      <w:lvlJc w:val="left"/>
      <w:pPr>
        <w:ind w:left="6108" w:firstLine="5748"/>
      </w:pPr>
      <w:rPr/>
    </w:lvl>
    <w:lvl w:ilvl="8">
      <w:start w:val="1"/>
      <w:numFmt w:val="lowerRoman"/>
      <w:lvlText w:val="%9."/>
      <w:lvlJc w:val="right"/>
      <w:pPr>
        <w:ind w:left="6828" w:firstLine="6648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="240" w:lineRule="auto"/>
      <w:jc w:val="both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60" w:line="240" w:lineRule="auto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="240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="240" w:lineRule="auto"/>
    </w:pPr>
    <w:rPr>
      <w:rFonts w:ascii="Times New Roman" w:cs="Times New Roman" w:eastAsia="Times New Roman" w:hAnsi="Times New Roman"/>
      <w:b w:val="1"/>
      <w:i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