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_gjdgxs" w:id="0"/>
      <w:bookmarkEnd w:id="0"/>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6"/>
          <w:szCs w:val="26"/>
          <w:rtl w:val="0"/>
        </w:rPr>
        <w:t xml:space="preserve">SCI-571-2014</w:t>
      </w:r>
    </w:p>
    <w:p w:rsidR="00000000" w:rsidDel="00000000" w:rsidP="00000000" w:rsidRDefault="00000000" w:rsidRPr="00000000">
      <w:pPr>
        <w:contextualSpacing w:val="0"/>
      </w:pPr>
      <w:r w:rsidDel="00000000" w:rsidR="00000000" w:rsidRPr="00000000">
        <w:rPr>
          <w:rFonts w:ascii="Arial" w:cs="Arial" w:eastAsia="Arial" w:hAnsi="Arial"/>
          <w:b w:val="1"/>
          <w:sz w:val="40"/>
          <w:szCs w:val="40"/>
          <w:rtl w:val="0"/>
        </w:rPr>
        <w:t xml:space="preserve">Comunicación de acuerdo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1"/>
        <w:bidi w:val="0"/>
        <w:tblW w:w="9781.0" w:type="dxa"/>
        <w:jc w:val="left"/>
        <w:tblInd w:w="-6.999999999999993" w:type="dxa"/>
        <w:tblLayout w:type="fixed"/>
        <w:tblLook w:val="0000"/>
      </w:tblPr>
      <w:tblGrid>
        <w:gridCol w:w="1123"/>
        <w:gridCol w:w="11"/>
        <w:gridCol w:w="8647"/>
        <w:tblGridChange w:id="0">
          <w:tblGrid>
            <w:gridCol w:w="1123"/>
            <w:gridCol w:w="11"/>
            <w:gridCol w:w="8647"/>
          </w:tblGrid>
        </w:tblGridChange>
      </w:tblGrid>
      <w:tr>
        <w:tc>
          <w:tcPr>
            <w:gridSpan w:val="2"/>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sz w:val="24"/>
                <w:szCs w:val="24"/>
                <w:rtl w:val="0"/>
              </w:rPr>
              <w:t xml:space="preserve">Para:</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Dr. Julio C. Calvo A, Rector</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M.A. Marvin Santos, Presidente del TIE</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M.B.A. Harold Blanco, Director del Departamento de Recursos Humanos</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Dr.  Edwin Marín Arroyo, Profesor de la Escuela de Ciencias del Lenguaje</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Dra. Rosaura Brenes, Directora de la Escuela de Ciencias del Lenguaje</w:t>
            </w:r>
          </w:p>
          <w:p w:rsidR="00000000" w:rsidDel="00000000" w:rsidP="00000000" w:rsidRDefault="00000000" w:rsidRPr="00000000">
            <w:pPr>
              <w:ind w:left="45" w:firstLine="0"/>
              <w:contextualSpacing w:val="0"/>
              <w:jc w:val="both"/>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De: </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Licda. Bertalía Sánchez Salas, Directora Ejecutiva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Secretaría del Consejo Institucional</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Instituto Tecnológico de Costa Rica</w:t>
            </w:r>
            <w:r w:rsidDel="00000000" w:rsidR="00000000" w:rsidRPr="00000000">
              <w:rPr>
                <w:rFonts w:ascii="Arial" w:cs="Arial" w:eastAsia="Arial" w:hAnsi="Arial"/>
                <w:sz w:val="22"/>
                <w:szCs w:val="22"/>
                <w:rtl w:val="0"/>
              </w:rPr>
              <w:t xml:space="preserve"> </w:t>
            </w:r>
          </w:p>
        </w:tc>
      </w:tr>
      <w:tr>
        <w:trPr>
          <w:trHeight w:val="320" w:hRule="atLeast"/>
        </w:trPr>
        <w:tc>
          <w:tcPr>
            <w:gridSpan w:val="2"/>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13 de agosto de 2014</w:t>
            </w:r>
          </w:p>
        </w:tc>
      </w:tr>
      <w:tr>
        <w:trPr>
          <w:trHeight w:val="280" w:hRule="atLeast"/>
        </w:trPr>
        <w:tc>
          <w:tcPr>
            <w:gridSpan w:val="2"/>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Asunto:</w:t>
            </w:r>
          </w:p>
        </w:tc>
        <w:tc>
          <w:tcPr>
            <w:gridSpan w:val="2"/>
          </w:tcPr>
          <w:p w:rsidR="00000000" w:rsidDel="00000000" w:rsidP="00000000" w:rsidRDefault="00000000" w:rsidRPr="00000000">
            <w:pPr>
              <w:ind w:left="45" w:hanging="45"/>
              <w:contextualSpacing w:val="0"/>
              <w:jc w:val="both"/>
            </w:pPr>
            <w:r w:rsidDel="00000000" w:rsidR="00000000" w:rsidRPr="00000000">
              <w:rPr>
                <w:rFonts w:ascii="Arial" w:cs="Arial" w:eastAsia="Arial" w:hAnsi="Arial"/>
                <w:b w:val="1"/>
                <w:sz w:val="24"/>
                <w:szCs w:val="24"/>
                <w:rtl w:val="0"/>
              </w:rPr>
              <w:t xml:space="preserve">Sesión Ordinaria No. 2880, Artículo 8, del 13 de agosto de 2014.  Nombramiento de un miembro titular del Sector Docente en el Tribunal Institucional Electoral, a partir del 1° de setiembre de 2014 y hasta el 31 de agosto de 2019</w:t>
            </w:r>
          </w:p>
          <w:p w:rsidR="00000000" w:rsidDel="00000000" w:rsidP="00000000" w:rsidRDefault="00000000" w:rsidRPr="00000000">
            <w:pPr>
              <w:ind w:left="45" w:hanging="45"/>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Para los fines correspondientes se transcribe el acuerdo tomado por el Consejo Institucional, citado en la referencia, el cual dice: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1440" w:hanging="1440"/>
        <w:contextualSpacing w:val="0"/>
        <w:jc w:val="both"/>
      </w:pPr>
      <w:r w:rsidDel="00000000" w:rsidR="00000000" w:rsidRPr="00000000">
        <w:rPr>
          <w:rFonts w:ascii="Arial" w:cs="Arial" w:eastAsia="Arial" w:hAnsi="Arial"/>
          <w:b w:val="1"/>
          <w:sz w:val="24"/>
          <w:szCs w:val="24"/>
          <w:rtl w:val="0"/>
        </w:rPr>
        <w:t xml:space="preserve">CONSIDERANDO QUE: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El Estatuto Orgánico, establece:</w:t>
      </w:r>
    </w:p>
    <w:p w:rsidR="00000000" w:rsidDel="00000000" w:rsidP="00000000" w:rsidRDefault="00000000" w:rsidRPr="00000000">
      <w:pPr>
        <w:ind w:left="1320" w:hanging="1320"/>
        <w:contextualSpacing w:val="0"/>
        <w:jc w:val="both"/>
      </w:pPr>
      <w:r w:rsidDel="00000000" w:rsidR="00000000" w:rsidRPr="00000000">
        <w:rPr>
          <w:rtl w:val="0"/>
        </w:rPr>
      </w:r>
    </w:p>
    <w:p w:rsidR="00000000" w:rsidDel="00000000" w:rsidP="00000000" w:rsidRDefault="00000000" w:rsidRPr="00000000">
      <w:pPr>
        <w:ind w:left="720" w:right="689" w:firstLine="0"/>
        <w:contextualSpacing w:val="0"/>
      </w:pPr>
      <w:r w:rsidDel="00000000" w:rsidR="00000000" w:rsidRPr="00000000">
        <w:rPr>
          <w:rFonts w:ascii="Arial" w:cs="Arial" w:eastAsia="Arial" w:hAnsi="Arial"/>
          <w:i w:val="1"/>
          <w:rtl w:val="0"/>
        </w:rPr>
        <w:t xml:space="preserve">“Artículo 18</w:t>
      </w:r>
    </w:p>
    <w:p w:rsidR="00000000" w:rsidDel="00000000" w:rsidP="00000000" w:rsidRDefault="00000000" w:rsidRPr="00000000">
      <w:pPr>
        <w:ind w:left="720" w:right="689" w:firstLine="0"/>
        <w:contextualSpacing w:val="0"/>
      </w:pPr>
      <w:r w:rsidDel="00000000" w:rsidR="00000000" w:rsidRPr="00000000">
        <w:rPr>
          <w:rFonts w:ascii="Arial" w:cs="Arial" w:eastAsia="Arial" w:hAnsi="Arial"/>
          <w:i w:val="1"/>
          <w:rtl w:val="0"/>
        </w:rPr>
        <w:t xml:space="preserve">Son funciones del Consejo Institucional:</w:t>
      </w:r>
    </w:p>
    <w:p w:rsidR="00000000" w:rsidDel="00000000" w:rsidP="00000000" w:rsidRDefault="00000000" w:rsidRPr="00000000">
      <w:pPr>
        <w:ind w:left="720" w:right="689" w:firstLine="0"/>
        <w:contextualSpacing w:val="0"/>
      </w:pPr>
      <w:r w:rsidDel="00000000" w:rsidR="00000000" w:rsidRPr="00000000">
        <w:rPr>
          <w:rFonts w:ascii="Arial" w:cs="Arial" w:eastAsia="Arial" w:hAnsi="Arial"/>
          <w:i w:val="1"/>
          <w:rtl w:val="0"/>
        </w:rPr>
        <w:t xml:space="preserve">…</w:t>
      </w:r>
    </w:p>
    <w:p w:rsidR="00000000" w:rsidDel="00000000" w:rsidP="00000000" w:rsidRDefault="00000000" w:rsidRPr="00000000">
      <w:pPr>
        <w:ind w:left="990" w:right="689" w:hanging="270"/>
        <w:contextualSpacing w:val="0"/>
        <w:jc w:val="both"/>
      </w:pPr>
      <w:r w:rsidDel="00000000" w:rsidR="00000000" w:rsidRPr="00000000">
        <w:rPr>
          <w:rFonts w:ascii="Arial" w:cs="Arial" w:eastAsia="Arial" w:hAnsi="Arial"/>
          <w:i w:val="1"/>
          <w:rtl w:val="0"/>
        </w:rPr>
        <w:t xml:space="preserve">ñ. Nombrar a los miembros del Tribunal Institucional Electoral, excepto a los representantes estudiantiles, y removerlos por causas graves.</w:t>
      </w:r>
    </w:p>
    <w:p w:rsidR="00000000" w:rsidDel="00000000" w:rsidP="00000000" w:rsidRDefault="00000000" w:rsidRPr="00000000">
      <w:pPr>
        <w:ind w:left="990" w:right="689" w:hanging="270"/>
        <w:contextualSpacing w:val="0"/>
        <w:jc w:val="both"/>
      </w:pPr>
      <w:r w:rsidDel="00000000" w:rsidR="00000000" w:rsidRPr="00000000">
        <w:rPr>
          <w:rFonts w:ascii="Arial" w:cs="Arial" w:eastAsia="Arial" w:hAnsi="Arial"/>
          <w:i w:val="1"/>
          <w:rtl w:val="0"/>
        </w:rPr>
        <w:t xml:space="preserve">…</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Artículo 85</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El Tribunal Institucional Electoral está integrado por:</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a .Cuatro profesores</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b. Dos estudiantes</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c. Un funcionario administrativo</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Cada miembro tendrá un suplente.  Los miembros funcionarios serán nombrados por el Consejo Institucional, durarán en sus funciones cinco años y se renovarán primero tres y dos años después dos.</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Los estudiantes serán nombrados por la Federación de Estudiantes del Instituto Tecnológico de Costa Rica, de acuerdo con lo que disponga su propio Estatuto.</w:t>
      </w:r>
    </w:p>
    <w:p w:rsidR="00000000" w:rsidDel="00000000" w:rsidP="00000000" w:rsidRDefault="00000000" w:rsidRPr="00000000">
      <w:pPr>
        <w:ind w:left="720" w:right="689" w:firstLine="0"/>
        <w:contextualSpacing w:val="0"/>
        <w:jc w:val="both"/>
      </w:pPr>
      <w:r w:rsidDel="00000000" w:rsidR="00000000" w:rsidRPr="00000000">
        <w:rPr>
          <w:rFonts w:ascii="Arial" w:cs="Arial" w:eastAsia="Arial" w:hAnsi="Arial"/>
          <w:i w:val="1"/>
          <w:rtl w:val="0"/>
        </w:rPr>
        <w:t xml:space="preserve">Todos los miembros podrán ser reelectos. El Consejo Institucional podrá destituir a cualquier miembro del Tribunal Institucional Electoral por incompetencia o falta de neutralidad comprobada.”</w:t>
      </w:r>
    </w:p>
    <w:p w:rsidR="00000000" w:rsidDel="00000000" w:rsidP="00000000" w:rsidRDefault="00000000" w:rsidRPr="00000000">
      <w:pPr>
        <w:ind w:right="-40"/>
        <w:contextualSpacing w:val="0"/>
      </w:pPr>
      <w:r w:rsidDel="00000000" w:rsidR="00000000" w:rsidRPr="00000000">
        <w:rPr>
          <w:rtl w:val="0"/>
        </w:rPr>
      </w:r>
    </w:p>
    <w:p w:rsidR="00000000" w:rsidDel="00000000" w:rsidP="00000000" w:rsidRDefault="00000000" w:rsidRPr="00000000">
      <w:pPr>
        <w:ind w:right="-40"/>
        <w:contextualSpacing w:val="0"/>
      </w:pPr>
      <w:r w:rsidDel="00000000" w:rsidR="00000000" w:rsidRPr="00000000">
        <w:rPr>
          <w:rFonts w:ascii="Arial" w:cs="Arial" w:eastAsia="Arial" w:hAnsi="Arial"/>
          <w:b w:val="1"/>
          <w:i w:val="1"/>
          <w:sz w:val="18"/>
          <w:szCs w:val="18"/>
          <w:rtl w:val="0"/>
        </w:rPr>
        <w:t xml:space="preserve">COMUNICACIÓN DE ACUERDO </w:t>
      </w:r>
    </w:p>
    <w:p w:rsidR="00000000" w:rsidDel="00000000" w:rsidP="00000000" w:rsidRDefault="00000000" w:rsidRPr="00000000">
      <w:pPr>
        <w:ind w:right="584"/>
        <w:contextualSpacing w:val="0"/>
        <w:jc w:val="both"/>
      </w:pPr>
      <w:r w:rsidDel="00000000" w:rsidR="00000000" w:rsidRPr="00000000">
        <w:rPr>
          <w:rFonts w:ascii="Arial" w:cs="Arial" w:eastAsia="Arial" w:hAnsi="Arial"/>
          <w:i w:val="1"/>
          <w:sz w:val="18"/>
          <w:szCs w:val="18"/>
          <w:rtl w:val="0"/>
        </w:rPr>
        <w:t xml:space="preserve">Sesión Ordinaria No. 2880, Artículo 8, del 13 de agosto  de 2014</w:t>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Fonts w:ascii="Arial" w:cs="Arial" w:eastAsia="Arial" w:hAnsi="Arial"/>
          <w:b w:val="0"/>
          <w:i w:val="1"/>
          <w:sz w:val="18"/>
          <w:szCs w:val="18"/>
          <w:rtl w:val="0"/>
        </w:rPr>
        <w:t xml:space="preserve">Página </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Secretaría del Consejo Institucional recibe oficio TIE-387-2014, con fecha de recibido 27 de junio de 2014, suscrito por el M.A.  Marvin Santos Varela, Presidente del Tribunal Institucional Electoral, dirigido a la Licda.  Bertalía Sánchez Salas, Directora Ejecutiva de la Secretaría del Consejo Institucional, en el cual solicita iniciar el procedimiento correspondiente para nombrar un Miembro del Sector Docente ante el Tribunal Institucional Electoral, puesto que quedará vacante a partir del 01 de setiembre de 2014.</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Con fecha 14 de julio de 2014 se remite oficio SCI-452-2014, suscrito por la Licda.  Bertalía Sánchez Salas, Directora Ejecutiva de la Secretaría del Consejo Institucional, dirigido a la Máster Karla Garita, Directora de la Oficina de Comunicación y Mercadeo, en el cual solicita publicar mediante Comunicado de Prensa, que el Consejo Institucional llenará la vacante de un miembro titular, del Sector Docente en el Tribunal Institucional Electoral, a partir del 01 de setiembre de 2014, por un período de 5 años.</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Secretaría del Consejo Institucional recibe Correo electrónico, con fecha de recibido 15 de julio de 2014, suscrito por el Sr.  Jorge Prendas Solano, Profesor de la Escuela de Ciencias y Letras, Sede Regional San Carlos, dirigido a la Licda.  Bertalía Sánchez Salas, Directora Ejecutiva de la Secretaría del Consejo Institucional, en el cual remite su postulación para participar en el puesto de miembro titular del Sector Docente ante el Tribunal Institucional Electoral y aporta su Curriculum Vitae.  (Ver Anexo 1)</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Mediante correo electrónico, del 15 de julio de 2014, suscrito por la señora Alejandra Jiménez Romero, Profesora de la Escuela de Matemática, dirigido a la Licda.  Bertalía Sánchez Salas, Directora Ejecutiva de la Secretaría del Consejo Institucional, manifiesta su deseo de postularse como miembro titular ante el Tribunal Institucional Electoral, por el Sector Docente y adjunta su Curriculum Vitae.  (Ver Anexo 2)</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Con fecha 16 de julio de 2014 y mediante correo electrónico suscrito por el Dr.  Edwin Marín Arroyo, Profesor de la Escuela de Ciencias del Lenguaje, dirigido a la Licda.  Bertalía Sánchez Salas, Directora Ejecutiva de la Secretaría del Consejo Institucional, en el cual remite su Curriculum Vitae, con el propósito de participar en la vacante dentro del TIE.  (Ver Anexo 3)</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Secretaría del Consejo Institucional recibe oficio sin referencia, con fecha de recibido 29 de julio de 2014, suscrito por el Ing.  Marvin Castillo Ugalde, Profesor Investigador de la Escuela de Ingeniería Forestal, dirigido a los miembros del Consejo Institucional, en el cual manifiesta su postulación para llenar la plaza vacante como miembro titular del sector docente en el Tribunal Institucional Electoral, de conformidad con lo que establece el Artículo 85 del </w:t>
      </w:r>
    </w:p>
    <w:p w:rsidR="00000000" w:rsidDel="00000000" w:rsidP="00000000" w:rsidRDefault="00000000" w:rsidRPr="00000000">
      <w:pPr>
        <w:ind w:right="-40"/>
        <w:contextualSpacing w:val="0"/>
      </w:pPr>
      <w:r w:rsidDel="00000000" w:rsidR="00000000" w:rsidRPr="00000000">
        <w:rPr>
          <w:rFonts w:ascii="Arial" w:cs="Arial" w:eastAsia="Arial" w:hAnsi="Arial"/>
          <w:b w:val="1"/>
          <w:i w:val="1"/>
          <w:sz w:val="18"/>
          <w:szCs w:val="18"/>
          <w:rtl w:val="0"/>
        </w:rPr>
        <w:t xml:space="preserve">COMUNICACIÓN DE ACUERDO </w:t>
      </w:r>
    </w:p>
    <w:p w:rsidR="00000000" w:rsidDel="00000000" w:rsidP="00000000" w:rsidRDefault="00000000" w:rsidRPr="00000000">
      <w:pPr>
        <w:ind w:right="584"/>
        <w:contextualSpacing w:val="0"/>
        <w:jc w:val="both"/>
      </w:pPr>
      <w:r w:rsidDel="00000000" w:rsidR="00000000" w:rsidRPr="00000000">
        <w:rPr>
          <w:rFonts w:ascii="Arial" w:cs="Arial" w:eastAsia="Arial" w:hAnsi="Arial"/>
          <w:i w:val="1"/>
          <w:sz w:val="18"/>
          <w:szCs w:val="18"/>
          <w:rtl w:val="0"/>
        </w:rPr>
        <w:t xml:space="preserve">Sesión Ordinaria No. 2880, Artículo 8, del 13 de agosto  de 2014</w:t>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Fonts w:ascii="Arial" w:cs="Arial" w:eastAsia="Arial" w:hAnsi="Arial"/>
          <w:b w:val="0"/>
          <w:i w:val="1"/>
          <w:sz w:val="18"/>
          <w:szCs w:val="18"/>
          <w:rtl w:val="0"/>
        </w:rPr>
        <w:t xml:space="preserve">Página 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ind w:left="708" w:firstLine="0"/>
        <w:contextualSpacing w:val="0"/>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jc w:val="both"/>
      </w:pPr>
      <w:r w:rsidDel="00000000" w:rsidR="00000000" w:rsidRPr="00000000">
        <w:rPr>
          <w:rFonts w:ascii="Arial" w:cs="Arial" w:eastAsia="Arial" w:hAnsi="Arial"/>
          <w:b w:val="0"/>
          <w:sz w:val="24"/>
          <w:szCs w:val="24"/>
          <w:rtl w:val="0"/>
        </w:rPr>
        <w:t xml:space="preserve">Estatuto Orgánico.  No omite manifestar que ha sido miembro titular del TIE, desde el 01 de setiembre de 2009 al 31 de agosto de 2014; adjunta su Curriculum Vitae.  (Ver Anexo 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Los postulantes cumplen con el requisito establecido en el Artículo 3 del Reglamento del Tribunal Institucional Electoral.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1"/>
          <w:sz w:val="24"/>
          <w:szCs w:val="24"/>
          <w:rtl w:val="0"/>
        </w:rPr>
        <w:t xml:space="preserve">SE ACUERDA:</w:t>
      </w:r>
    </w:p>
    <w:p w:rsidR="00000000" w:rsidDel="00000000" w:rsidP="00000000" w:rsidRDefault="00000000" w:rsidRPr="00000000">
      <w:pPr>
        <w:ind w:left="1320" w:hanging="1320"/>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Nombrar al Dr.  Edwin Marín Arroyo, como miembro titular del Sector Docente en el Tribunal Institucional Electoral, por un periodo de cinco años, del 01 de setiembre de 2014 al 31 de agosto de 2019.</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Solicitar a la Secretaría del Consejo Institucional, incluir como punto de agenda en una próxima sesión, la respectiva juramentación de Dr.  Edwin Marín Arroyo, por parte del Consejo Institucional.</w:t>
      </w:r>
    </w:p>
    <w:p w:rsidR="00000000" w:rsidDel="00000000" w:rsidP="00000000" w:rsidRDefault="00000000" w:rsidRPr="00000000">
      <w:pPr>
        <w:ind w:right="-91"/>
        <w:contextualSpacing w:val="0"/>
        <w:jc w:val="both"/>
      </w:pPr>
      <w:r w:rsidDel="00000000" w:rsidR="00000000" w:rsidRPr="00000000">
        <w:rPr>
          <w:rFonts w:ascii="Arial" w:cs="Arial" w:eastAsia="Arial" w:hAnsi="Arial"/>
          <w:sz w:val="24"/>
          <w:szCs w:val="24"/>
          <w:rtl w:val="0"/>
        </w:rPr>
        <w:t xml:space="preserve"> </w:t>
      </w:r>
    </w:p>
    <w:p w:rsidR="00000000" w:rsidDel="00000000" w:rsidP="00000000" w:rsidRDefault="00000000" w:rsidRPr="00000000">
      <w:pPr>
        <w:numPr>
          <w:ilvl w:val="0"/>
          <w:numId w:val="2"/>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Comunicar. </w:t>
      </w:r>
      <w:r w:rsidDel="00000000" w:rsidR="00000000" w:rsidRPr="00000000">
        <w:rPr>
          <w:rFonts w:ascii="Arial" w:cs="Arial" w:eastAsia="Arial" w:hAnsi="Arial"/>
          <w:b w:val="1"/>
          <w:sz w:val="24"/>
          <w:szCs w:val="24"/>
          <w:rtl w:val="0"/>
        </w:rPr>
        <w:t xml:space="preserve">ACUERDO FIRME.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bookmarkStart w:colFirst="0" w:colLast="0" w:name="_30j0zll" w:id="1"/>
      <w:bookmarkEnd w:id="1"/>
      <w:r w:rsidDel="00000000" w:rsidR="00000000" w:rsidRPr="00000000">
        <w:rPr>
          <w:rFonts w:ascii="Arial" w:cs="Arial" w:eastAsia="Arial" w:hAnsi="Arial"/>
          <w:b w:val="1"/>
          <w:sz w:val="16"/>
          <w:szCs w:val="16"/>
          <w:rtl w:val="0"/>
        </w:rPr>
        <w:t xml:space="preserve">Palabras Clave:  Nombramiento Titular – TIE – Docente –Edwin Marín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sz w:val="18"/>
          <w:szCs w:val="18"/>
          <w:rtl w:val="0"/>
        </w:rPr>
        <w:t xml:space="preserve">BSS/cmpm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bl>
      <w:tblPr>
        <w:tblStyle w:val="Table2"/>
        <w:bidi w:val="0"/>
        <w:tblW w:w="9464.0" w:type="dxa"/>
        <w:jc w:val="left"/>
        <w:tblInd w:w="-115.0" w:type="dxa"/>
        <w:tblLayout w:type="fixed"/>
        <w:tblLook w:val="0400"/>
      </w:tblPr>
      <w:tblGrid>
        <w:gridCol w:w="4361"/>
        <w:gridCol w:w="5103"/>
        <w:tblGridChange w:id="0">
          <w:tblGrid>
            <w:gridCol w:w="4361"/>
            <w:gridCol w:w="5103"/>
          </w:tblGrid>
        </w:tblGridChange>
      </w:tblGrid>
      <w:tr>
        <w:trPr>
          <w:trHeight w:val="180" w:hRule="atLeast"/>
        </w:trPr>
        <w:tc>
          <w:tcPr/>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ci.  Secretaría del Consejo Institucional</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Vicerrectoría Docencia</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VIE</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Vicerrectoría de Administración</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Sede Regional San Carlos</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Centro Académico de San José</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de Planificación Institucional</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Centro Académico de Limón</w:t>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Asesoría Legal</w:t>
            </w:r>
          </w:p>
          <w:p w:rsidR="00000000" w:rsidDel="00000000" w:rsidP="00000000" w:rsidRDefault="00000000" w:rsidRPr="00000000">
            <w:pPr>
              <w:ind w:firstLine="34"/>
              <w:contextualSpacing w:val="0"/>
              <w:jc w:val="both"/>
            </w:pPr>
            <w:r w:rsidDel="00000000" w:rsidR="00000000" w:rsidRPr="00000000">
              <w:rPr>
                <w:rFonts w:ascii="Arial" w:cs="Arial" w:eastAsia="Arial" w:hAnsi="Arial"/>
                <w:b w:val="1"/>
                <w:sz w:val="16"/>
                <w:szCs w:val="16"/>
                <w:rtl w:val="0"/>
              </w:rPr>
              <w:t xml:space="preserve">Auditoría Interna (Notificado a la Secretaria vía correo electrónico)</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Oficina de Comunicación y Mercadeo </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Centro de Archivo y Comunicaciones</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FEITEC</w:t>
            </w:r>
          </w:p>
          <w:p w:rsidR="00000000" w:rsidDel="00000000" w:rsidP="00000000" w:rsidRDefault="00000000" w:rsidRPr="00000000">
            <w:pPr>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sectPr>
      <w:headerReference r:id="rId5" w:type="default"/>
      <w:footerReference r:id="rId6" w:type="default"/>
      <w:pgSz w:h="15842" w:w="12242"/>
      <w:pgMar w:bottom="1135" w:top="1418" w:left="1701" w:right="17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252"/>
        <w:tab w:val="right" w:pos="8504"/>
      </w:tabs>
      <w:spacing w:after="709"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Heading6"/>
      <w:spacing w:after="0" w:before="709" w:lineRule="auto"/>
      <w:contextualSpacing w:val="0"/>
      <w:jc w:val="right"/>
    </w:pPr>
    <w:r w:rsidDel="00000000" w:rsidR="00000000" w:rsidRPr="00000000">
      <w:rPr>
        <w:rFonts w:ascii="Arial" w:cs="Arial" w:eastAsia="Arial" w:hAnsi="Arial"/>
        <w:sz w:val="18"/>
        <w:szCs w:val="18"/>
        <w:rtl w:val="0"/>
      </w:rPr>
      <w:t xml:space="preserve">Instituto Tecnológico de Costa Rica</w:t>
    </w:r>
    <w:r w:rsidDel="00000000" w:rsidR="00000000" w:rsidRPr="00000000">
      <w:rPr>
        <w:rtl w:val="0"/>
      </w:rPr>
    </w:r>
  </w:p>
  <w:p w:rsidR="00000000" w:rsidDel="00000000" w:rsidP="00000000" w:rsidRDefault="00000000" w:rsidRPr="00000000">
    <w:pPr>
      <w:tabs>
        <w:tab w:val="left" w:pos="5954"/>
      </w:tabs>
      <w:contextualSpacing w:val="0"/>
      <w:jc w:val="right"/>
    </w:pPr>
    <w:r w:rsidDel="00000000" w:rsidR="00000000" w:rsidRPr="00000000">
      <w:rPr>
        <w:rFonts w:ascii="Arial" w:cs="Arial" w:eastAsia="Arial" w:hAnsi="Arial"/>
        <w:b w:val="1"/>
        <w:i w:val="1"/>
        <w:sz w:val="18"/>
        <w:szCs w:val="18"/>
        <w:rtl w:val="0"/>
      </w:rPr>
      <w:t xml:space="preserve">Secretaría Consejo Institucional</w:t>
    </w:r>
  </w:p>
  <w:p w:rsidR="00000000" w:rsidDel="00000000" w:rsidP="00000000" w:rsidRDefault="00000000" w:rsidRPr="00000000">
    <w:pPr>
      <w:tabs>
        <w:tab w:val="left" w:pos="5954"/>
      </w:tabs>
      <w:contextualSpacing w:val="0"/>
      <w:jc w:val="right"/>
    </w:pPr>
    <w:r w:rsidDel="00000000" w:rsidR="00000000" w:rsidRPr="00000000">
      <w:rPr>
        <w:rFonts w:ascii="Arial" w:cs="Arial" w:eastAsia="Arial" w:hAnsi="Arial"/>
        <w:b w:val="1"/>
        <w:i w:val="1"/>
        <w:sz w:val="18"/>
        <w:szCs w:val="18"/>
        <w:rtl w:val="0"/>
      </w:rPr>
      <w:t xml:space="preserve">Ext.  2716-2239</w:t>
    </w: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right="-374"/>
      <w:contextualSpacing w:val="0"/>
      <w:jc w:val="center"/>
    </w:pPr>
    <w:r w:rsidDel="00000000" w:rsidR="00000000" w:rsidRPr="00000000">
      <w:drawing>
        <wp:inline distB="0" distT="0" distL="0" distR="0">
          <wp:extent cx="5384800" cy="152400"/>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5384800" cy="152400"/>
                  </a:xfrm>
                  <a:prstGeom prst="rect"/>
                  <a:ln/>
                </pic:spPr>
              </pic:pic>
            </a:graphicData>
          </a:graphic>
        </wp:inline>
      </w:drawing>
    </w: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b w:val="1"/>
        <w:i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lowerLetter"/>
      <w:lvlText w:val="%1."/>
      <w:lvlJc w:val="left"/>
      <w:pPr>
        <w:ind w:left="720" w:firstLine="360"/>
      </w:pPr>
      <w:rPr>
        <w:b w:val="1"/>
        <w:strike w:val="0"/>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jc w:val="both"/>
    </w:pPr>
    <w:rPr>
      <w:rFonts w:ascii="Cambria" w:cs="Cambria" w:eastAsia="Cambria" w:hAnsi="Cambria"/>
      <w:b w:val="1"/>
      <w:sz w:val="32"/>
      <w:szCs w:val="32"/>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60" w:line="24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60" w:before="240" w:line="240" w:lineRule="auto"/>
    </w:pPr>
    <w:rPr>
      <w:rFonts w:ascii="Times New Roman" w:cs="Times New Roman" w:eastAsia="Times New Roman" w:hAnsi="Times New Roman"/>
      <w:b w:val="1"/>
      <w:i w:val="1"/>
      <w:sz w:val="22"/>
      <w:szCs w:val="2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