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bookmarkStart w:colFirst="0" w:colLast="0" w:name="_gjdgxs" w:id="0"/>
      <w:bookmarkEnd w:id="0"/>
      <w:r w:rsidDel="00000000" w:rsidR="00000000" w:rsidRPr="00000000">
        <w:rPr>
          <w:rtl w:val="0"/>
        </w:rPr>
      </w:r>
    </w:p>
    <w:p w:rsidR="00000000" w:rsidDel="00000000" w:rsidP="00000000" w:rsidRDefault="00000000" w:rsidRPr="00000000">
      <w:pPr>
        <w:contextualSpacing w:val="0"/>
      </w:pPr>
      <w:bookmarkStart w:colFirst="0" w:colLast="0" w:name="_30j0zll" w:id="1"/>
      <w:bookmarkEnd w:id="1"/>
      <w:r w:rsidDel="00000000" w:rsidR="00000000" w:rsidRPr="00000000">
        <w:rPr>
          <w:rFonts w:ascii="Arial" w:cs="Arial" w:eastAsia="Arial" w:hAnsi="Arial"/>
          <w:b w:val="1"/>
          <w:sz w:val="26"/>
          <w:szCs w:val="26"/>
          <w:rtl w:val="0"/>
        </w:rPr>
        <w:t xml:space="preserve">SCI-605-2014</w:t>
      </w:r>
    </w:p>
    <w:p w:rsidR="00000000" w:rsidDel="00000000" w:rsidP="00000000" w:rsidRDefault="00000000" w:rsidRPr="00000000">
      <w:pPr>
        <w:contextualSpacing w:val="0"/>
      </w:pPr>
      <w:r w:rsidDel="00000000" w:rsidR="00000000" w:rsidRPr="00000000">
        <w:rPr>
          <w:rFonts w:ascii="Arial" w:cs="Arial" w:eastAsia="Arial" w:hAnsi="Arial"/>
          <w:b w:val="1"/>
          <w:sz w:val="40"/>
          <w:szCs w:val="40"/>
          <w:rtl w:val="0"/>
        </w:rPr>
        <w:t xml:space="preserve">Comunicación de acuerdo </w:t>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tbl>
      <w:tblPr>
        <w:tblStyle w:val="Table1"/>
        <w:bidi w:val="0"/>
        <w:tblW w:w="8789.0" w:type="dxa"/>
        <w:jc w:val="left"/>
        <w:tblInd w:w="-6.999999999999993" w:type="dxa"/>
        <w:tblLayout w:type="fixed"/>
        <w:tblLook w:val="0000"/>
      </w:tblPr>
      <w:tblGrid>
        <w:gridCol w:w="1123"/>
        <w:gridCol w:w="11"/>
        <w:gridCol w:w="7655"/>
        <w:tblGridChange w:id="0">
          <w:tblGrid>
            <w:gridCol w:w="1123"/>
            <w:gridCol w:w="11"/>
            <w:gridCol w:w="7655"/>
          </w:tblGrid>
        </w:tblGridChange>
      </w:tblGrid>
      <w:tr>
        <w:tc>
          <w:tcPr>
            <w:gridSpan w:val="2"/>
          </w:tcPr>
          <w:p w:rsidR="00000000" w:rsidDel="00000000" w:rsidP="00000000" w:rsidRDefault="00000000" w:rsidRPr="00000000">
            <w:pPr>
              <w:tabs>
                <w:tab w:val="right" w:pos="2100"/>
                <w:tab w:val="left" w:pos="2694"/>
              </w:tabs>
              <w:contextualSpacing w:val="0"/>
            </w:pPr>
            <w:r w:rsidDel="00000000" w:rsidR="00000000" w:rsidRPr="00000000">
              <w:rPr>
                <w:rFonts w:ascii="Arial" w:cs="Arial" w:eastAsia="Arial" w:hAnsi="Arial"/>
                <w:b w:val="1"/>
                <w:sz w:val="24"/>
                <w:szCs w:val="24"/>
                <w:rtl w:val="0"/>
              </w:rPr>
              <w:t xml:space="preserve">Para:</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Dr. Julio C. Calvo A, Rector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M.T.E. Daniel Villavicencio Coto, Presidente, Directorio de la AIR</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 William Buckley Buckley, Integrante Comisión Estatuto Orgánico del Consejo Institucional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Ing. Jorge Carmona Chaves, Integrante Comisión Estatuto Orgánico del Consejo Institucional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2"/>
                <w:szCs w:val="22"/>
                <w:rtl w:val="0"/>
              </w:rPr>
              <w:t xml:space="preserve"> </w:t>
            </w:r>
          </w:p>
        </w:tc>
      </w:tr>
      <w:tr>
        <w:tc>
          <w:tcPr>
            <w:gridSpan w:val="2"/>
          </w:tcPr>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De: </w:t>
            </w:r>
          </w:p>
        </w:tc>
        <w:tc>
          <w:tcPr/>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Licda. Bertalía Sánchez Salas, Directora Ejecutiva </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Secretaría del Consejo Institucional</w:t>
            </w:r>
          </w:p>
          <w:p w:rsidR="00000000" w:rsidDel="00000000" w:rsidP="00000000" w:rsidRDefault="00000000" w:rsidRPr="00000000">
            <w:pPr>
              <w:ind w:left="45" w:firstLine="0"/>
              <w:contextualSpacing w:val="0"/>
              <w:jc w:val="both"/>
            </w:pPr>
            <w:r w:rsidDel="00000000" w:rsidR="00000000" w:rsidRPr="00000000">
              <w:rPr>
                <w:rFonts w:ascii="Arial" w:cs="Arial" w:eastAsia="Arial" w:hAnsi="Arial"/>
                <w:sz w:val="24"/>
                <w:szCs w:val="24"/>
                <w:rtl w:val="0"/>
              </w:rPr>
              <w:t xml:space="preserve">Instituto Tecnológico de Costa Rica</w:t>
            </w:r>
            <w:r w:rsidDel="00000000" w:rsidR="00000000" w:rsidRPr="00000000">
              <w:rPr>
                <w:rFonts w:ascii="Arial" w:cs="Arial" w:eastAsia="Arial" w:hAnsi="Arial"/>
                <w:sz w:val="22"/>
                <w:szCs w:val="22"/>
                <w:rtl w:val="0"/>
              </w:rPr>
              <w:t xml:space="preserve"> </w:t>
            </w:r>
          </w:p>
        </w:tc>
      </w:tr>
      <w:tr>
        <w:trPr>
          <w:trHeight w:val="320" w:hRule="atLeast"/>
        </w:trPr>
        <w:tc>
          <w:tcPr>
            <w:gridSpan w:val="2"/>
          </w:tcPr>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Arial" w:cs="Arial" w:eastAsia="Arial" w:hAnsi="Arial"/>
                <w:b w:val="1"/>
                <w:sz w:val="24"/>
                <w:szCs w:val="24"/>
                <w:rtl w:val="0"/>
              </w:rPr>
              <w:t xml:space="preserve">Fecha:</w:t>
            </w:r>
          </w:p>
        </w:tc>
        <w:tc>
          <w:tcPr/>
          <w:p w:rsidR="00000000" w:rsidDel="00000000" w:rsidP="00000000" w:rsidRDefault="00000000" w:rsidRPr="00000000">
            <w:pPr>
              <w:tabs>
                <w:tab w:val="right" w:pos="2410"/>
                <w:tab w:val="left" w:pos="2694"/>
              </w:tabs>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24"/>
                <w:szCs w:val="24"/>
                <w:rtl w:val="0"/>
              </w:rPr>
              <w:t xml:space="preserve">20 de agosto de 2014</w:t>
            </w:r>
          </w:p>
        </w:tc>
      </w:tr>
      <w:tr>
        <w:trPr>
          <w:trHeight w:val="280" w:hRule="atLeast"/>
        </w:trPr>
        <w:tc>
          <w:tcPr>
            <w:gridSpan w:val="2"/>
          </w:tcPr>
          <w:p w:rsidR="00000000" w:rsidDel="00000000" w:rsidP="00000000" w:rsidRDefault="00000000" w:rsidRPr="00000000">
            <w:pPr>
              <w:contextualSpacing w:val="0"/>
            </w:pPr>
            <w:r w:rsidDel="00000000" w:rsidR="00000000" w:rsidRPr="00000000">
              <w:rPr>
                <w:rtl w:val="0"/>
              </w:rPr>
            </w:r>
          </w:p>
        </w:tc>
        <w:tc>
          <w:tcPr/>
          <w:p w:rsidR="00000000" w:rsidDel="00000000" w:rsidP="00000000" w:rsidRDefault="00000000" w:rsidRPr="00000000">
            <w:pPr>
              <w:contextualSpacing w:val="0"/>
            </w:pPr>
            <w:r w:rsidDel="00000000" w:rsidR="00000000" w:rsidRPr="00000000">
              <w:rPr>
                <w:rtl w:val="0"/>
              </w:rPr>
            </w:r>
          </w:p>
        </w:tc>
      </w:tr>
      <w:tr>
        <w:trPr>
          <w:trHeight w:val="320" w:hRule="atLeast"/>
        </w:trPr>
        <w:tc>
          <w:tcPr/>
          <w:p w:rsidR="00000000" w:rsidDel="00000000" w:rsidP="00000000" w:rsidRDefault="00000000" w:rsidRPr="00000000">
            <w:pPr>
              <w:contextualSpacing w:val="0"/>
            </w:pPr>
            <w:r w:rsidDel="00000000" w:rsidR="00000000" w:rsidRPr="00000000">
              <w:rPr>
                <w:rFonts w:ascii="Arial" w:cs="Arial" w:eastAsia="Arial" w:hAnsi="Arial"/>
                <w:b w:val="1"/>
                <w:sz w:val="22"/>
                <w:szCs w:val="22"/>
                <w:rtl w:val="0"/>
              </w:rPr>
              <w:t xml:space="preserve">Asunto:</w:t>
            </w:r>
          </w:p>
        </w:tc>
        <w:tc>
          <w:tcPr>
            <w:gridSpan w:val="2"/>
          </w:tcPr>
          <w:p w:rsidR="00000000" w:rsidDel="00000000" w:rsidP="00000000" w:rsidRDefault="00000000" w:rsidRPr="00000000">
            <w:pPr>
              <w:ind w:left="45" w:hanging="45"/>
              <w:contextualSpacing w:val="0"/>
              <w:jc w:val="both"/>
            </w:pPr>
            <w:r w:rsidDel="00000000" w:rsidR="00000000" w:rsidRPr="00000000">
              <w:rPr>
                <w:rFonts w:ascii="Arial" w:cs="Arial" w:eastAsia="Arial" w:hAnsi="Arial"/>
                <w:b w:val="1"/>
                <w:sz w:val="24"/>
                <w:szCs w:val="24"/>
                <w:rtl w:val="0"/>
              </w:rPr>
              <w:t xml:space="preserve">Sesión Ordinaria No. 2881, Artículo 7, del 20 de agosto de 2014.  Nombramiento de dos integrantes de la Comisión Permanente de Estatuto Orgánico del Consejo Institucional para que integren la Comisión para que estudie la normativa relacionada con la integración de la AIR y lograr una participación activa en las sesiones y dictamine acerca de la definición de un número estable de representantes ante esta, manteniendo los porcentajes de representación según cada sector</w:t>
            </w:r>
          </w:p>
          <w:p w:rsidR="00000000" w:rsidDel="00000000" w:rsidP="00000000" w:rsidRDefault="00000000" w:rsidRPr="00000000">
            <w:pPr>
              <w:ind w:left="45" w:hanging="45"/>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Fonts w:ascii="Arial" w:cs="Arial" w:eastAsia="Arial" w:hAnsi="Arial"/>
          <w:sz w:val="24"/>
          <w:szCs w:val="24"/>
          <w:rtl w:val="0"/>
        </w:rPr>
        <w:t xml:space="preserve">Para los fines correspondientes se transcribe el acuerdo tomado por el Consejo Institucional, citado en la referencia, el cual dice: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ind w:left="1440" w:hanging="1440"/>
        <w:contextualSpacing w:val="0"/>
        <w:jc w:val="both"/>
      </w:pPr>
      <w:r w:rsidDel="00000000" w:rsidR="00000000" w:rsidRPr="00000000">
        <w:rPr>
          <w:rFonts w:ascii="Arial" w:cs="Arial" w:eastAsia="Arial" w:hAnsi="Arial"/>
          <w:b w:val="1"/>
          <w:sz w:val="24"/>
          <w:szCs w:val="24"/>
          <w:rtl w:val="0"/>
        </w:rPr>
        <w:t xml:space="preserve">CONSIDERANDO QUE: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rFonts w:ascii="Arial" w:cs="Arial" w:eastAsia="Arial" w:hAnsi="Arial"/>
          <w:sz w:val="20"/>
          <w:szCs w:val="20"/>
        </w:rPr>
      </w:pPr>
      <w:r w:rsidDel="00000000" w:rsidR="00000000" w:rsidRPr="00000000">
        <w:rPr>
          <w:rFonts w:ascii="Arial" w:cs="Arial" w:eastAsia="Arial" w:hAnsi="Arial"/>
          <w:b w:val="0"/>
          <w:sz w:val="24"/>
          <w:szCs w:val="24"/>
          <w:rtl w:val="0"/>
        </w:rPr>
        <w:t xml:space="preserve">La Secretaría del Consejo Institucional recibió el oficio DAIR-143-2014, con fecha de recibido 6 de agosto de 2014, suscrito por el M.T.E. Daniel Villavicencio Coto, Presidente, Directorio de la AIR, dirigido al Dr. Julio Calvo Alvarado, Presidente del Consejo Institucional, Señor Esteban Chacón Solano, Presidente FEITEC, Ing. Miriam Brenes Cerdas, Directorio AIR, Ing. Marvin Castillo Ugalde, Escuela de Forestal, Ing. Lourdes Medina Escobar, Escuela Seguridad e Higiene Ocupacional, Ing. Adriana López Figueroa, Escuela de Computación, Lic. Walter Sequeira Fallas, Departamento de Aprovisionamiento, en la cual transcribe el acuerdo de la Sesión Extraordinaria 342 del Directorio de la AIR,  celebrada el miércoles 25 de junio, en el Artículo 5, y que dice en el punto 2, lo siguiente:</w:t>
      </w:r>
      <w:r w:rsidDel="00000000" w:rsidR="00000000" w:rsidRPr="00000000">
        <w:rPr>
          <w:rtl w:val="0"/>
        </w:rPr>
      </w:r>
    </w:p>
    <w:p w:rsidR="00000000" w:rsidDel="00000000" w:rsidP="00000000" w:rsidRDefault="00000000" w:rsidRPr="00000000">
      <w:pPr>
        <w:spacing w:after="0" w:before="0" w:line="240" w:lineRule="auto"/>
        <w:ind w:left="720" w:firstLine="0"/>
        <w:contextualSpacing w:val="0"/>
        <w:jc w:val="both"/>
      </w:pPr>
      <w:r w:rsidDel="00000000" w:rsidR="00000000" w:rsidRPr="00000000">
        <w:rPr>
          <w:rtl w:val="0"/>
        </w:rPr>
      </w:r>
    </w:p>
    <w:p w:rsidR="00000000" w:rsidDel="00000000" w:rsidP="00000000" w:rsidRDefault="00000000" w:rsidRPr="00000000">
      <w:pPr>
        <w:ind w:left="1418" w:right="425" w:hanging="142.00000000000003"/>
        <w:contextualSpacing w:val="0"/>
        <w:jc w:val="both"/>
      </w:pPr>
      <w:r w:rsidDel="00000000" w:rsidR="00000000" w:rsidRPr="00000000">
        <w:rPr>
          <w:rFonts w:ascii="Arial" w:cs="Arial" w:eastAsia="Arial" w:hAnsi="Arial"/>
          <w:i w:val="1"/>
          <w:sz w:val="22"/>
          <w:szCs w:val="22"/>
          <w:rtl w:val="0"/>
        </w:rPr>
        <w:t xml:space="preserve">“</w:t>
      </w:r>
      <w:r w:rsidDel="00000000" w:rsidR="00000000" w:rsidRPr="00000000">
        <w:rPr>
          <w:rFonts w:ascii="Arial" w:cs="Arial" w:eastAsia="Arial" w:hAnsi="Arial"/>
          <w:i w:val="1"/>
          <w:rtl w:val="0"/>
        </w:rPr>
        <w:t xml:space="preserve">Solicitar al Dr. Julio Calvo Alvarado, Presidente del Consejo Institucional, el nombramiento de dos miembros de la Comisión Permanente del Estatuto Orgánico</w:t>
      </w:r>
      <w:r w:rsidDel="00000000" w:rsidR="00000000" w:rsidRPr="00000000">
        <w:rPr>
          <w:rFonts w:ascii="Arial" w:cs="Arial" w:eastAsia="Arial" w:hAnsi="Arial"/>
          <w:i w:val="1"/>
          <w:sz w:val="22"/>
          <w:szCs w:val="22"/>
          <w:rtl w:val="0"/>
        </w:rPr>
        <w:t xml:space="preserve">”.</w:t>
      </w:r>
    </w:p>
    <w:p w:rsidR="00000000" w:rsidDel="00000000" w:rsidP="00000000" w:rsidRDefault="00000000" w:rsidRPr="00000000">
      <w:pPr>
        <w:ind w:left="1418" w:right="425" w:hanging="142.00000000000003"/>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El oficio citado fue conocido por el Consejo Institucional, en Sesión Ordinaria No. 2880, celebrada el 13 de agosto de 2014, y trasladada a la Comisión de Estatuto Orgánico del Consejo Institucional, para el trámite correspondiente.</w:t>
      </w:r>
    </w:p>
    <w:p w:rsidR="00000000" w:rsidDel="00000000" w:rsidP="00000000" w:rsidRDefault="00000000" w:rsidRPr="00000000">
      <w:pPr>
        <w:spacing w:after="0" w:before="0" w:line="240" w:lineRule="auto"/>
        <w:ind w:left="284" w:firstLine="0"/>
        <w:contextualSpacing w:val="0"/>
        <w:jc w:val="both"/>
      </w:pPr>
      <w:r w:rsidDel="00000000" w:rsidR="00000000" w:rsidRPr="00000000">
        <w:rPr>
          <w:rtl w:val="0"/>
        </w:rPr>
      </w:r>
    </w:p>
    <w:p w:rsidR="00000000" w:rsidDel="00000000" w:rsidP="00000000" w:rsidRDefault="00000000" w:rsidRPr="00000000">
      <w:pPr>
        <w:numPr>
          <w:ilvl w:val="0"/>
          <w:numId w:val="1"/>
        </w:numPr>
        <w:spacing w:after="0" w:before="0" w:line="240" w:lineRule="auto"/>
        <w:ind w:left="284" w:hanging="284"/>
        <w:jc w:val="both"/>
        <w:rPr>
          <w:rFonts w:ascii="Arial" w:cs="Arial" w:eastAsia="Arial" w:hAnsi="Arial"/>
          <w:sz w:val="24"/>
          <w:szCs w:val="24"/>
        </w:rPr>
      </w:pPr>
      <w:r w:rsidDel="00000000" w:rsidR="00000000" w:rsidRPr="00000000">
        <w:rPr>
          <w:rFonts w:ascii="Arial" w:cs="Arial" w:eastAsia="Arial" w:hAnsi="Arial"/>
          <w:b w:val="0"/>
          <w:sz w:val="24"/>
          <w:szCs w:val="24"/>
          <w:rtl w:val="0"/>
        </w:rPr>
        <w:t xml:space="preserve">La Comisión de Estatuto Orgánico en la reunión No. 156-2014, del 19 de agosto de 2014, conoce la nota DAIR-143-2014, en el apartado de la correspondencia y dispuso designar al Lic. William Buckley y al Ing. Jorge Carmona Chaves, integrantes de esta Comisión, para que integren la Comisión conformada por el Directorio de la AIR, de Análisis del Artículo 58 del Estatuto Orgánico y elevar la propuesta al pleno.</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tabs>
          <w:tab w:val="left" w:pos="426"/>
        </w:tabs>
        <w:spacing w:before="0" w:lineRule="auto"/>
        <w:contextualSpacing w:val="0"/>
        <w:jc w:val="both"/>
      </w:pPr>
      <w:r w:rsidDel="00000000" w:rsidR="00000000" w:rsidRPr="00000000">
        <w:rPr>
          <w:rtl w:val="0"/>
        </w:rPr>
      </w:r>
    </w:p>
    <w:p w:rsidR="00000000" w:rsidDel="00000000" w:rsidP="00000000" w:rsidRDefault="00000000" w:rsidRPr="00000000">
      <w:pPr>
        <w:spacing w:after="0" w:before="0" w:line="240" w:lineRule="auto"/>
        <w:ind w:left="0" w:firstLine="0"/>
        <w:contextualSpacing w:val="0"/>
        <w:jc w:val="both"/>
      </w:pPr>
      <w:r w:rsidDel="00000000" w:rsidR="00000000" w:rsidRPr="00000000">
        <w:rPr>
          <w:rFonts w:ascii="Arial" w:cs="Arial" w:eastAsia="Arial" w:hAnsi="Arial"/>
          <w:b w:val="1"/>
          <w:sz w:val="24"/>
          <w:szCs w:val="24"/>
          <w:rtl w:val="0"/>
        </w:rPr>
        <w:t xml:space="preserve">SE ACUERDA:</w:t>
      </w:r>
    </w:p>
    <w:p w:rsidR="00000000" w:rsidDel="00000000" w:rsidP="00000000" w:rsidRDefault="00000000" w:rsidRPr="00000000">
      <w:pPr>
        <w:ind w:left="1320" w:hanging="1320"/>
        <w:contextualSpacing w:val="0"/>
        <w:jc w:val="both"/>
      </w:pPr>
      <w:r w:rsidDel="00000000" w:rsidR="00000000" w:rsidRPr="00000000">
        <w:rPr>
          <w:rtl w:val="0"/>
        </w:rPr>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Nombrar al Lic. William Buckley Buckley y al Ing. Jorge Carmona Chaves, integrantes de la Comisión Permanente de Estatuto Orgánico del Consejo Institucional, para que integren la Comisión de Análisis Artículo 58 del Estatuto Orgánico.</w:t>
      </w:r>
    </w:p>
    <w:p w:rsidR="00000000" w:rsidDel="00000000" w:rsidP="00000000" w:rsidRDefault="00000000" w:rsidRPr="00000000">
      <w:pPr>
        <w:ind w:right="-91"/>
        <w:contextualSpacing w:val="0"/>
        <w:jc w:val="both"/>
      </w:pPr>
      <w:r w:rsidDel="00000000" w:rsidR="00000000" w:rsidRPr="00000000">
        <w:rPr>
          <w:rFonts w:ascii="Arial" w:cs="Arial" w:eastAsia="Arial" w:hAnsi="Arial"/>
          <w:sz w:val="24"/>
          <w:szCs w:val="24"/>
          <w:rtl w:val="0"/>
        </w:rPr>
        <w:t xml:space="preserve"> </w:t>
      </w:r>
    </w:p>
    <w:p w:rsidR="00000000" w:rsidDel="00000000" w:rsidP="00000000" w:rsidRDefault="00000000" w:rsidRPr="00000000">
      <w:pPr>
        <w:numPr>
          <w:ilvl w:val="0"/>
          <w:numId w:val="2"/>
        </w:numPr>
        <w:spacing w:after="0" w:before="0" w:line="240" w:lineRule="auto"/>
        <w:ind w:left="360" w:right="-91" w:hanging="360"/>
        <w:jc w:val="both"/>
        <w:rPr>
          <w:rFonts w:ascii="Arial" w:cs="Arial" w:eastAsia="Arial" w:hAnsi="Arial"/>
        </w:rPr>
      </w:pPr>
      <w:r w:rsidDel="00000000" w:rsidR="00000000" w:rsidRPr="00000000">
        <w:rPr>
          <w:rFonts w:ascii="Arial" w:cs="Arial" w:eastAsia="Arial" w:hAnsi="Arial"/>
          <w:b w:val="0"/>
          <w:sz w:val="24"/>
          <w:szCs w:val="24"/>
          <w:rtl w:val="0"/>
        </w:rPr>
        <w:t xml:space="preserve">Comunicar. </w:t>
      </w:r>
      <w:r w:rsidDel="00000000" w:rsidR="00000000" w:rsidRPr="00000000">
        <w:rPr>
          <w:rFonts w:ascii="Arial" w:cs="Arial" w:eastAsia="Arial" w:hAnsi="Arial"/>
          <w:b w:val="1"/>
          <w:sz w:val="24"/>
          <w:szCs w:val="24"/>
          <w:rtl w:val="0"/>
        </w:rPr>
        <w:t xml:space="preserve">ACUERDO FIRME.</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Palabras Clave:  Conformación-Comisión-AIR-integración-porcentajes-representación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Arial" w:cs="Arial" w:eastAsia="Arial" w:hAnsi="Arial"/>
          <w:sz w:val="18"/>
          <w:szCs w:val="18"/>
          <w:rtl w:val="0"/>
        </w:rPr>
        <w:t xml:space="preserve">BSS/cmpm</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tbl>
      <w:tblPr>
        <w:tblStyle w:val="Table2"/>
        <w:bidi w:val="0"/>
        <w:tblW w:w="9464.0" w:type="dxa"/>
        <w:jc w:val="left"/>
        <w:tblInd w:w="-115.0" w:type="dxa"/>
        <w:tblLayout w:type="fixed"/>
        <w:tblLook w:val="0400"/>
      </w:tblPr>
      <w:tblGrid>
        <w:gridCol w:w="4361"/>
        <w:gridCol w:w="5103"/>
        <w:tblGridChange w:id="0">
          <w:tblGrid>
            <w:gridCol w:w="4361"/>
            <w:gridCol w:w="5103"/>
          </w:tblGrid>
        </w:tblGridChange>
      </w:tblGrid>
      <w:tr>
        <w:trPr>
          <w:trHeight w:val="180" w:hRule="atLeast"/>
        </w:trPr>
        <w:tc>
          <w:tcPr/>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ci.  Secretaría del Consejo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Docencia</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VIE</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Vicerrectoría de Administración</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Sede Regional San Carlos</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San José</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de Planificación Institucional</w:t>
            </w:r>
          </w:p>
          <w:p w:rsidR="00000000" w:rsidDel="00000000" w:rsidP="00000000" w:rsidRDefault="00000000" w:rsidRPr="00000000">
            <w:pPr>
              <w:ind w:left="-567" w:firstLine="567"/>
              <w:contextualSpacing w:val="0"/>
              <w:jc w:val="both"/>
            </w:pPr>
            <w:r w:rsidDel="00000000" w:rsidR="00000000" w:rsidRPr="00000000">
              <w:rPr>
                <w:rFonts w:ascii="Arial" w:cs="Arial" w:eastAsia="Arial" w:hAnsi="Arial"/>
                <w:b w:val="1"/>
                <w:sz w:val="16"/>
                <w:szCs w:val="16"/>
                <w:rtl w:val="0"/>
              </w:rPr>
              <w:t xml:space="preserve">Centro Académico de Limón</w:t>
            </w:r>
          </w:p>
          <w:p w:rsidR="00000000" w:rsidDel="00000000" w:rsidP="00000000" w:rsidRDefault="00000000" w:rsidRPr="00000000">
            <w:pPr>
              <w:contextualSpacing w:val="0"/>
              <w:jc w:val="both"/>
            </w:pPr>
            <w:r w:rsidDel="00000000" w:rsidR="00000000" w:rsidRPr="00000000">
              <w:rPr>
                <w:rtl w:val="0"/>
              </w:rPr>
            </w:r>
          </w:p>
        </w:tc>
        <w:tc>
          <w:tcPr/>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Oficina Asesoría Legal</w:t>
            </w:r>
          </w:p>
          <w:p w:rsidR="00000000" w:rsidDel="00000000" w:rsidP="00000000" w:rsidRDefault="00000000" w:rsidRPr="00000000">
            <w:pPr>
              <w:ind w:firstLine="34"/>
              <w:contextualSpacing w:val="0"/>
              <w:jc w:val="both"/>
            </w:pPr>
            <w:r w:rsidDel="00000000" w:rsidR="00000000" w:rsidRPr="00000000">
              <w:rPr>
                <w:rFonts w:ascii="Arial" w:cs="Arial" w:eastAsia="Arial" w:hAnsi="Arial"/>
                <w:b w:val="1"/>
                <w:sz w:val="16"/>
                <w:szCs w:val="16"/>
                <w:rtl w:val="0"/>
              </w:rPr>
              <w:t xml:space="preserve">Auditoría Interna (Notificado a la Secretaria vía correo electrónico)</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Oficina de Comunicación y Mercadeo </w:t>
            </w:r>
          </w:p>
          <w:p w:rsidR="00000000" w:rsidDel="00000000" w:rsidP="00000000" w:rsidRDefault="00000000" w:rsidRPr="00000000">
            <w:pPr>
              <w:ind w:left="720" w:hanging="720"/>
              <w:contextualSpacing w:val="0"/>
              <w:jc w:val="both"/>
            </w:pPr>
            <w:r w:rsidDel="00000000" w:rsidR="00000000" w:rsidRPr="00000000">
              <w:rPr>
                <w:rFonts w:ascii="Arial" w:cs="Arial" w:eastAsia="Arial" w:hAnsi="Arial"/>
                <w:b w:val="1"/>
                <w:sz w:val="16"/>
                <w:szCs w:val="16"/>
                <w:rtl w:val="0"/>
              </w:rPr>
              <w:t xml:space="preserve">Centro de Archivo y Comunicaciones</w:t>
            </w:r>
          </w:p>
          <w:p w:rsidR="00000000" w:rsidDel="00000000" w:rsidP="00000000" w:rsidRDefault="00000000" w:rsidRPr="00000000">
            <w:pPr>
              <w:contextualSpacing w:val="0"/>
              <w:jc w:val="both"/>
            </w:pPr>
            <w:r w:rsidDel="00000000" w:rsidR="00000000" w:rsidRPr="00000000">
              <w:rPr>
                <w:rFonts w:ascii="Arial" w:cs="Arial" w:eastAsia="Arial" w:hAnsi="Arial"/>
                <w:b w:val="1"/>
                <w:sz w:val="16"/>
                <w:szCs w:val="16"/>
                <w:rtl w:val="0"/>
              </w:rPr>
              <w:t xml:space="preserve">FEITEC</w:t>
            </w:r>
          </w:p>
          <w:p w:rsidR="00000000" w:rsidDel="00000000" w:rsidP="00000000" w:rsidRDefault="00000000" w:rsidRPr="00000000">
            <w:pPr>
              <w:contextualSpacing w:val="0"/>
              <w:jc w:val="both"/>
            </w:pPr>
            <w:r w:rsidDel="00000000" w:rsidR="00000000" w:rsidRPr="00000000">
              <w:rPr>
                <w:rtl w:val="0"/>
              </w:rPr>
            </w:r>
          </w:p>
        </w:tc>
      </w:tr>
    </w:tbl>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sectPr>
      <w:headerReference r:id="rId5" w:type="default"/>
      <w:headerReference r:id="rId6" w:type="first"/>
      <w:footerReference r:id="rId7" w:type="default"/>
      <w:pgSz w:h="15842" w:w="12242"/>
      <w:pgMar w:bottom="1135" w:top="1418" w:left="1701" w:right="1752"/>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mbria"/>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709" w:before="0" w:line="240" w:lineRule="auto"/>
      <w:contextualSpacing w:val="0"/>
      <w:jc w:val="center"/>
    </w:pPr>
    <w:fldSimple w:instr="PAGE" w:fldLock="0" w:dirty="0">
      <w:r w:rsidDel="00000000" w:rsidR="00000000" w:rsidRPr="00000000">
        <w:rPr>
          <w:rFonts w:ascii="Times New Roman" w:cs="Times New Roman" w:eastAsia="Times New Roman" w:hAnsi="Times New Roman"/>
          <w:b w:val="0"/>
          <w:sz w:val="20"/>
          <w:szCs w:val="20"/>
        </w:rPr>
      </w:r>
    </w:fldSimple>
    <w:r w:rsidDel="00000000" w:rsidR="00000000" w:rsidRPr="00000000">
      <w:rPr>
        <w:rtl w:val="0"/>
      </w:rPr>
    </w:r>
  </w:p>
  <w:p w:rsidR="00000000" w:rsidDel="00000000" w:rsidP="00000000" w:rsidRDefault="00000000" w:rsidRPr="00000000">
    <w:pPr>
      <w:tabs>
        <w:tab w:val="center" w:pos="4252"/>
        <w:tab w:val="right" w:pos="8504"/>
      </w:tabs>
      <w:spacing w:after="709"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1" name="image01.png"/>
          <a:graphic>
            <a:graphicData uri="http://schemas.openxmlformats.org/drawingml/2006/picture">
              <pic:pic>
                <pic:nvPicPr>
                  <pic:cNvPr id="0" name="image01.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ind w:right="-40"/>
      <w:contextualSpacing w:val="0"/>
    </w:pPr>
    <w:r w:rsidDel="00000000" w:rsidR="00000000" w:rsidRPr="00000000">
      <w:rPr>
        <w:rFonts w:ascii="Arial" w:cs="Arial" w:eastAsia="Arial" w:hAnsi="Arial"/>
        <w:b w:val="1"/>
        <w:i w:val="1"/>
        <w:sz w:val="18"/>
        <w:szCs w:val="18"/>
        <w:rtl w:val="0"/>
      </w:rPr>
      <w:t xml:space="preserve">COMUNICACIÓN DE ACUERDO </w:t>
    </w:r>
  </w:p>
  <w:p w:rsidR="00000000" w:rsidDel="00000000" w:rsidP="00000000" w:rsidRDefault="00000000" w:rsidRPr="00000000">
    <w:pPr>
      <w:ind w:right="584"/>
      <w:contextualSpacing w:val="0"/>
      <w:jc w:val="both"/>
    </w:pPr>
    <w:r w:rsidDel="00000000" w:rsidR="00000000" w:rsidRPr="00000000">
      <w:rPr>
        <w:rFonts w:ascii="Arial" w:cs="Arial" w:eastAsia="Arial" w:hAnsi="Arial"/>
        <w:i w:val="1"/>
        <w:sz w:val="18"/>
        <w:szCs w:val="18"/>
        <w:rtl w:val="0"/>
      </w:rPr>
      <w:t xml:space="preserve">Sesión Ordinaria No. 2881, Artículo 7, del 20 de agosto de 2014</w:t>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Fonts w:ascii="Arial" w:cs="Arial" w:eastAsia="Arial" w:hAnsi="Arial"/>
        <w:b w:val="0"/>
        <w:i w:val="1"/>
        <w:sz w:val="18"/>
        <w:szCs w:val="18"/>
        <w:rtl w:val="0"/>
      </w:rPr>
      <w:t xml:space="preserve">Página </w:t>
    </w:r>
    <w:fldSimple w:instr="PAGE" w:fldLock="0" w:dirty="0">
      <w:r w:rsidDel="00000000" w:rsidR="00000000" w:rsidRPr="00000000">
        <w:rPr>
          <w:rFonts w:ascii="Arial" w:cs="Arial" w:eastAsia="Arial" w:hAnsi="Arial"/>
          <w:b w:val="0"/>
          <w:i w:val="1"/>
          <w:sz w:val="18"/>
          <w:szCs w:val="18"/>
        </w:rPr>
      </w:r>
    </w:fldSimple>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Heading6"/>
      <w:spacing w:after="0" w:before="709" w:lineRule="auto"/>
      <w:contextualSpacing w:val="0"/>
      <w:jc w:val="right"/>
    </w:pPr>
    <w:r w:rsidDel="00000000" w:rsidR="00000000" w:rsidRPr="00000000">
      <w:rPr>
        <w:rFonts w:ascii="Arial" w:cs="Arial" w:eastAsia="Arial" w:hAnsi="Arial"/>
        <w:sz w:val="18"/>
        <w:szCs w:val="18"/>
        <w:rtl w:val="0"/>
      </w:rPr>
      <w:t xml:space="preserve">Instituto Tecnológico de Costa Rica</w:t>
    </w:r>
    <w:r w:rsidDel="00000000" w:rsidR="00000000" w:rsidRPr="00000000">
      <w:rPr>
        <w:rtl w:val="0"/>
      </w:rPr>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Secretaría Consejo Institucional</w:t>
    </w:r>
  </w:p>
  <w:p w:rsidR="00000000" w:rsidDel="00000000" w:rsidP="00000000" w:rsidRDefault="00000000" w:rsidRPr="00000000">
    <w:pPr>
      <w:tabs>
        <w:tab w:val="left" w:pos="5954"/>
      </w:tabs>
      <w:contextualSpacing w:val="0"/>
      <w:jc w:val="right"/>
    </w:pPr>
    <w:r w:rsidDel="00000000" w:rsidR="00000000" w:rsidRPr="00000000">
      <w:rPr>
        <w:rFonts w:ascii="Arial" w:cs="Arial" w:eastAsia="Arial" w:hAnsi="Arial"/>
        <w:b w:val="1"/>
        <w:i w:val="1"/>
        <w:sz w:val="18"/>
        <w:szCs w:val="18"/>
        <w:rtl w:val="0"/>
      </w:rPr>
      <w:t xml:space="preserve">Ext.  2716-2239</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ind w:right="-374"/>
      <w:contextualSpacing w:val="0"/>
      <w:jc w:val="center"/>
    </w:pPr>
    <w:r w:rsidDel="00000000" w:rsidR="00000000" w:rsidRPr="00000000">
      <w:drawing>
        <wp:inline distB="0" distT="0" distL="0" distR="0">
          <wp:extent cx="5384800" cy="152400"/>
          <wp:effectExtent b="0" l="0" r="0" t="0"/>
          <wp:docPr id="2" name="image02.png"/>
          <a:graphic>
            <a:graphicData uri="http://schemas.openxmlformats.org/drawingml/2006/picture">
              <pic:pic>
                <pic:nvPicPr>
                  <pic:cNvPr id="0" name="image02.png"/>
                  <pic:cNvPicPr preferRelativeResize="0"/>
                </pic:nvPicPr>
                <pic:blipFill>
                  <a:blip r:embed="rId1"/>
                  <a:srcRect b="0" l="0" r="0" t="0"/>
                  <a:stretch>
                    <a:fillRect/>
                  </a:stretch>
                </pic:blipFill>
                <pic:spPr>
                  <a:xfrm>
                    <a:off x="0" y="0"/>
                    <a:ext cx="5384800" cy="152400"/>
                  </a:xfrm>
                  <a:prstGeom prst="rect"/>
                  <a:ln/>
                </pic:spPr>
              </pic:pic>
            </a:graphicData>
          </a:graphic>
        </wp:inline>
      </w:drawing>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b w:val="1"/>
        <w:i w:val="0"/>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lowerLetter"/>
      <w:lvlText w:val="%1."/>
      <w:lvlJc w:val="left"/>
      <w:pPr>
        <w:ind w:left="720" w:firstLine="360"/>
      </w:pPr>
      <w:rPr>
        <w:b w:val="1"/>
        <w:strike w:val="0"/>
        <w:sz w:val="24"/>
        <w:szCs w:val="24"/>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60" w:before="240" w:line="240" w:lineRule="auto"/>
      <w:jc w:val="both"/>
    </w:pPr>
    <w:rPr>
      <w:rFonts w:ascii="Cambria" w:cs="Cambria" w:eastAsia="Cambria" w:hAnsi="Cambria"/>
      <w:b w:val="1"/>
      <w:sz w:val="32"/>
      <w:szCs w:val="32"/>
    </w:rPr>
  </w:style>
  <w:style w:type="paragraph" w:styleId="Heading2">
    <w:name w:val="heading 2"/>
    <w:basedOn w:val="Normal"/>
    <w:next w:val="Normal"/>
    <w:pPr>
      <w:keepNext w:val="1"/>
      <w:keepLines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keepLines w:val="1"/>
      <w:spacing w:after="0" w:before="60" w:line="240" w:lineRule="auto"/>
      <w:jc w:val="both"/>
    </w:pPr>
    <w:rPr>
      <w:rFonts w:ascii="Times New Roman" w:cs="Times New Roman" w:eastAsia="Times New Roman" w:hAnsi="Times New Roman"/>
      <w:b w:val="1"/>
      <w:sz w:val="24"/>
      <w:szCs w:val="24"/>
    </w:rPr>
  </w:style>
  <w:style w:type="paragraph" w:styleId="Heading4">
    <w:name w:val="heading 4"/>
    <w:basedOn w:val="Normal"/>
    <w:next w:val="Normal"/>
    <w:pPr>
      <w:keepNext w:val="1"/>
      <w:keepLines w:val="1"/>
      <w:spacing w:after="60" w:before="240" w:line="240" w:lineRule="auto"/>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60" w:before="240" w:line="240" w:lineRule="auto"/>
    </w:pPr>
    <w:rPr>
      <w:rFonts w:ascii="Times New Roman" w:cs="Times New Roman" w:eastAsia="Times New Roman" w:hAnsi="Times New Roman"/>
      <w:b w:val="1"/>
      <w:i w:val="1"/>
      <w:sz w:val="22"/>
      <w:szCs w:val="22"/>
    </w:rPr>
  </w:style>
  <w:style w:type="paragraph" w:styleId="Title">
    <w:name w:val="Title"/>
    <w:basedOn w:val="Normal"/>
    <w:next w:val="Normal"/>
    <w:pPr>
      <w:keepNext w:val="1"/>
      <w:keepLines w:val="1"/>
      <w:spacing w:after="0" w:before="0" w:line="240" w:lineRule="auto"/>
      <w:jc w:val="center"/>
    </w:pPr>
    <w:rPr>
      <w:rFonts w:ascii="Arial" w:cs="Arial" w:eastAsia="Arial" w:hAnsi="Arial"/>
      <w:b w:val="1"/>
      <w:sz w:val="22"/>
      <w:szCs w:val="2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01.png"/></Relationships>
</file>

<file path=word/_rels/header2.xml.rels><?xml version="1.0" encoding="UTF-8" standalone="yes"?><Relationships xmlns="http://schemas.openxmlformats.org/package/2006/relationships"><Relationship Id="rId1" Type="http://schemas.openxmlformats.org/officeDocument/2006/relationships/image" Target="media/image02.png"/></Relationships>
</file>